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0002114505</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406"/>
        <w:gridCol w:w="4799"/>
      </w:tblGrid>
      <w:tr>
        <w:trPr/>
        <w:tc>
          <w:tcPr>
            <w:tcW w:w="5406" w:type="dxa"/>
            <w:tcBorders/>
            <w:vAlign w:val="center"/>
          </w:tcPr>
          <w:p>
            <w:pPr>
              <w:pStyle w:val="TableContents"/>
              <w:bidi w:val="0"/>
              <w:spacing w:before="0" w:after="283"/>
              <w:jc w:val="left"/>
              <w:rPr/>
            </w:pPr>
            <w:r>
              <w:rPr/>
              <w:t>Name of Issuer</w:t>
            </w:r>
          </w:p>
        </w:tc>
        <w:tc>
          <w:tcPr>
            <w:tcW w:w="4799" w:type="dxa"/>
            <w:tcBorders/>
            <w:vAlign w:val="center"/>
          </w:tcPr>
          <w:p>
            <w:pPr>
              <w:pStyle w:val="TableContents"/>
              <w:bidi w:val="0"/>
              <w:spacing w:before="0" w:after="0"/>
              <w:jc w:val="left"/>
              <w:rPr/>
            </w:pPr>
            <w:r>
              <w:rPr/>
              <w:t>Allot Ltd.</w:t>
            </w:r>
          </w:p>
        </w:tc>
      </w:tr>
      <w:tr>
        <w:trPr/>
        <w:tc>
          <w:tcPr>
            <w:tcW w:w="5406" w:type="dxa"/>
            <w:tcBorders/>
            <w:vAlign w:val="center"/>
          </w:tcPr>
          <w:p>
            <w:pPr>
              <w:pStyle w:val="TableContents"/>
              <w:bidi w:val="0"/>
              <w:spacing w:before="0" w:after="283"/>
              <w:jc w:val="left"/>
              <w:rPr/>
            </w:pPr>
            <w:r>
              <w:rPr/>
              <w:t>SEC File Number</w:t>
            </w:r>
          </w:p>
        </w:tc>
        <w:tc>
          <w:tcPr>
            <w:tcW w:w="4799" w:type="dxa"/>
            <w:tcBorders/>
            <w:vAlign w:val="center"/>
          </w:tcPr>
          <w:p>
            <w:pPr>
              <w:pStyle w:val="TableContents"/>
              <w:bidi w:val="0"/>
              <w:spacing w:before="0" w:after="0"/>
              <w:jc w:val="left"/>
              <w:rPr/>
            </w:pPr>
            <w:r>
              <w:rPr/>
              <w:t>001-33129</w:t>
            </w:r>
          </w:p>
        </w:tc>
      </w:tr>
      <w:tr>
        <w:trPr/>
        <w:tc>
          <w:tcPr>
            <w:tcW w:w="5406" w:type="dxa"/>
            <w:tcBorders/>
            <w:vAlign w:val="center"/>
          </w:tcPr>
          <w:p>
            <w:pPr>
              <w:pStyle w:val="TableContents"/>
              <w:bidi w:val="0"/>
              <w:spacing w:before="0" w:after="283"/>
              <w:jc w:val="left"/>
              <w:rPr/>
            </w:pPr>
            <w:r>
              <w:rPr/>
              <w:t>Address of Issuer</w:t>
            </w:r>
          </w:p>
        </w:tc>
        <w:tc>
          <w:tcPr>
            <w:tcW w:w="4799" w:type="dxa"/>
            <w:tcBorders/>
            <w:vAlign w:val="center"/>
          </w:tcPr>
          <w:p>
            <w:pPr>
              <w:pStyle w:val="TableContents"/>
              <w:bidi w:val="0"/>
              <w:spacing w:before="0" w:after="0"/>
              <w:jc w:val="left"/>
              <w:rPr/>
            </w:pPr>
            <w:r>
              <w:rPr/>
              <w:t>22 HANGAR STREET</w:t>
              <w:br/>
              <w:t>NEVE NE'EMAN, INDUSTRIAL ZONE B</w:t>
              <w:br/>
              <w:t>HOD-HASHARON</w:t>
              <w:br/>
              <w:t xml:space="preserve">ISRAEL </w:t>
              <w:br/>
              <w:t>4501317</w:t>
            </w:r>
          </w:p>
        </w:tc>
      </w:tr>
      <w:tr>
        <w:trPr/>
        <w:tc>
          <w:tcPr>
            <w:tcW w:w="5406" w:type="dxa"/>
            <w:tcBorders/>
            <w:vAlign w:val="center"/>
          </w:tcPr>
          <w:p>
            <w:pPr>
              <w:pStyle w:val="TableContents"/>
              <w:bidi w:val="0"/>
              <w:spacing w:before="0" w:after="283"/>
              <w:jc w:val="left"/>
              <w:rPr/>
            </w:pPr>
            <w:r>
              <w:rPr/>
              <w:t>Phone</w:t>
            </w:r>
          </w:p>
        </w:tc>
        <w:tc>
          <w:tcPr>
            <w:tcW w:w="4799" w:type="dxa"/>
            <w:tcBorders/>
            <w:vAlign w:val="center"/>
          </w:tcPr>
          <w:p>
            <w:pPr>
              <w:pStyle w:val="TableContents"/>
              <w:bidi w:val="0"/>
              <w:spacing w:before="0" w:after="0"/>
              <w:jc w:val="left"/>
              <w:rPr/>
            </w:pPr>
            <w:r>
              <w:rPr/>
              <w:t>972-9-761-9200</w:t>
            </w:r>
          </w:p>
        </w:tc>
      </w:tr>
      <w:tr>
        <w:trPr/>
        <w:tc>
          <w:tcPr>
            <w:tcW w:w="5406" w:type="dxa"/>
            <w:tcBorders/>
            <w:vAlign w:val="center"/>
          </w:tcPr>
          <w:p>
            <w:pPr>
              <w:pStyle w:val="TableContents"/>
              <w:bidi w:val="0"/>
              <w:spacing w:before="0" w:after="283"/>
              <w:jc w:val="left"/>
              <w:rPr/>
            </w:pPr>
            <w:r>
              <w:rPr/>
              <w:t>Name of Person for Whose Account the Securities are To Be Sold</w:t>
            </w:r>
          </w:p>
        </w:tc>
        <w:tc>
          <w:tcPr>
            <w:tcW w:w="4799" w:type="dxa"/>
            <w:tcBorders/>
            <w:vAlign w:val="center"/>
          </w:tcPr>
          <w:p>
            <w:pPr>
              <w:pStyle w:val="TableContents"/>
              <w:bidi w:val="0"/>
              <w:spacing w:before="0" w:after="0"/>
              <w:jc w:val="left"/>
              <w:rPr/>
            </w:pPr>
            <w:r>
              <w:rPr/>
              <w:t>Groner Gili</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406" w:type="dxa"/>
            <w:tcBorders/>
            <w:vAlign w:val="center"/>
          </w:tcPr>
          <w:p>
            <w:pPr>
              <w:pStyle w:val="TableContents"/>
              <w:bidi w:val="0"/>
              <w:spacing w:before="0" w:after="283"/>
              <w:jc w:val="left"/>
              <w:rPr/>
            </w:pPr>
            <w:r>
              <w:rPr/>
              <w:t>Relationship to Issuer</w:t>
            </w:r>
          </w:p>
        </w:tc>
        <w:tc>
          <w:tcPr>
            <w:tcW w:w="4799"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12"/>
        <w:gridCol w:w="1778"/>
        <w:gridCol w:w="1140"/>
        <w:gridCol w:w="1346"/>
        <w:gridCol w:w="1527"/>
        <w:gridCol w:w="1552"/>
        <w:gridCol w:w="1350"/>
      </w:tblGrid>
      <w:tr>
        <w:trPr/>
        <w:tc>
          <w:tcPr>
            <w:tcW w:w="1512" w:type="dxa"/>
            <w:tcBorders/>
            <w:vAlign w:val="center"/>
          </w:tcPr>
          <w:p>
            <w:pPr>
              <w:pStyle w:val="TableHeading"/>
              <w:suppressLineNumbers/>
              <w:bidi w:val="0"/>
              <w:spacing w:before="0" w:after="283"/>
              <w:jc w:val="center"/>
              <w:rPr/>
            </w:pPr>
            <w:r>
              <w:rPr/>
              <w:t>Title of the Class of Securities To Be Sold</w:t>
            </w:r>
          </w:p>
        </w:tc>
        <w:tc>
          <w:tcPr>
            <w:tcW w:w="1778" w:type="dxa"/>
            <w:tcBorders/>
            <w:vAlign w:val="center"/>
          </w:tcPr>
          <w:p>
            <w:pPr>
              <w:pStyle w:val="TableHeading"/>
              <w:suppressLineNumbers/>
              <w:bidi w:val="0"/>
              <w:spacing w:before="0" w:after="283"/>
              <w:jc w:val="center"/>
              <w:rPr/>
            </w:pPr>
            <w:r>
              <w:rPr/>
              <w:t>Name and Address of the Broker</w:t>
            </w:r>
          </w:p>
        </w:tc>
        <w:tc>
          <w:tcPr>
            <w:tcW w:w="1140" w:type="dxa"/>
            <w:tcBorders/>
            <w:vAlign w:val="center"/>
          </w:tcPr>
          <w:p>
            <w:pPr>
              <w:pStyle w:val="TableHeading"/>
              <w:suppressLineNumbers/>
              <w:bidi w:val="0"/>
              <w:spacing w:before="0" w:after="283"/>
              <w:jc w:val="center"/>
              <w:rPr/>
            </w:pPr>
            <w:r>
              <w:rPr/>
              <w:t>Number of Shares or Other Units To Be Sold</w:t>
            </w:r>
          </w:p>
        </w:tc>
        <w:tc>
          <w:tcPr>
            <w:tcW w:w="1346" w:type="dxa"/>
            <w:tcBorders/>
            <w:vAlign w:val="center"/>
          </w:tcPr>
          <w:p>
            <w:pPr>
              <w:pStyle w:val="TableHeading"/>
              <w:suppressLineNumbers/>
              <w:bidi w:val="0"/>
              <w:spacing w:before="0" w:after="283"/>
              <w:jc w:val="center"/>
              <w:rPr/>
            </w:pPr>
            <w:r>
              <w:rPr/>
              <w:t>Aggregate Market Value</w:t>
            </w:r>
          </w:p>
        </w:tc>
        <w:tc>
          <w:tcPr>
            <w:tcW w:w="1527" w:type="dxa"/>
            <w:tcBorders/>
            <w:vAlign w:val="center"/>
          </w:tcPr>
          <w:p>
            <w:pPr>
              <w:pStyle w:val="TableHeading"/>
              <w:suppressLineNumbers/>
              <w:bidi w:val="0"/>
              <w:spacing w:before="0" w:after="283"/>
              <w:jc w:val="center"/>
              <w:rPr/>
            </w:pPr>
            <w:r>
              <w:rPr/>
              <w:t>Number of Shares or Other Units Outstanding</w:t>
            </w:r>
          </w:p>
        </w:tc>
        <w:tc>
          <w:tcPr>
            <w:tcW w:w="1552" w:type="dxa"/>
            <w:tcBorders/>
            <w:vAlign w:val="center"/>
          </w:tcPr>
          <w:p>
            <w:pPr>
              <w:pStyle w:val="TableHeading"/>
              <w:suppressLineNumbers/>
              <w:bidi w:val="0"/>
              <w:spacing w:before="0" w:after="283"/>
              <w:jc w:val="center"/>
              <w:rPr/>
            </w:pPr>
            <w:r>
              <w:rPr/>
              <w:t>Approximate Date of Sale</w:t>
            </w:r>
          </w:p>
        </w:tc>
        <w:tc>
          <w:tcPr>
            <w:tcW w:w="1350" w:type="dxa"/>
            <w:tcBorders/>
            <w:vAlign w:val="center"/>
          </w:tcPr>
          <w:p>
            <w:pPr>
              <w:pStyle w:val="TableHeading"/>
              <w:suppressLineNumbers/>
              <w:bidi w:val="0"/>
              <w:spacing w:before="0" w:after="283"/>
              <w:jc w:val="center"/>
              <w:rPr/>
            </w:pPr>
            <w:r>
              <w:rPr/>
              <w:t>Name the Securities Exchange</w:t>
            </w:r>
          </w:p>
        </w:tc>
      </w:tr>
      <w:tr>
        <w:trPr/>
        <w:tc>
          <w:tcPr>
            <w:tcW w:w="1512" w:type="dxa"/>
            <w:tcBorders/>
            <w:vAlign w:val="center"/>
          </w:tcPr>
          <w:p>
            <w:pPr>
              <w:pStyle w:val="TableContents"/>
              <w:bidi w:val="0"/>
              <w:spacing w:before="0" w:after="283"/>
              <w:jc w:val="left"/>
              <w:rPr/>
            </w:pPr>
            <w:r>
              <w:rPr/>
              <w:t>Ordinary Shares</w:t>
            </w:r>
          </w:p>
        </w:tc>
        <w:tc>
          <w:tcPr>
            <w:tcW w:w="1778" w:type="dxa"/>
            <w:tcBorders/>
            <w:vAlign w:val="center"/>
          </w:tcPr>
          <w:p>
            <w:pPr>
              <w:pStyle w:val="TableContents"/>
              <w:bidi w:val="0"/>
              <w:spacing w:before="0" w:after="0"/>
              <w:jc w:val="left"/>
              <w:rPr/>
            </w:pPr>
            <w:r>
              <w:rPr/>
              <w:t>Oppenheimer &amp; Co. Inc.</w:t>
              <w:br/>
              <w:t>85 Broad St.</w:t>
              <w:br/>
              <w:t>New York   NY   10004</w:t>
            </w:r>
          </w:p>
        </w:tc>
        <w:tc>
          <w:tcPr>
            <w:tcW w:w="1140" w:type="dxa"/>
            <w:tcBorders/>
            <w:vAlign w:val="center"/>
          </w:tcPr>
          <w:p>
            <w:pPr>
              <w:pStyle w:val="TableContents"/>
              <w:bidi w:val="0"/>
              <w:spacing w:before="0" w:after="283"/>
              <w:jc w:val="left"/>
              <w:rPr/>
            </w:pPr>
            <w:r>
              <w:rPr/>
              <w:t>26666</w:t>
            </w:r>
          </w:p>
        </w:tc>
        <w:tc>
          <w:tcPr>
            <w:tcW w:w="1346" w:type="dxa"/>
            <w:tcBorders/>
            <w:vAlign w:val="center"/>
          </w:tcPr>
          <w:p>
            <w:pPr>
              <w:pStyle w:val="TableContents"/>
              <w:bidi w:val="0"/>
              <w:spacing w:before="0" w:after="283"/>
              <w:jc w:val="left"/>
              <w:rPr/>
            </w:pPr>
            <w:r>
              <w:rPr/>
              <w:t>211461.38</w:t>
            </w:r>
          </w:p>
        </w:tc>
        <w:tc>
          <w:tcPr>
            <w:tcW w:w="1527" w:type="dxa"/>
            <w:tcBorders/>
            <w:vAlign w:val="center"/>
          </w:tcPr>
          <w:p>
            <w:pPr>
              <w:pStyle w:val="TableContents"/>
              <w:bidi w:val="0"/>
              <w:spacing w:before="0" w:after="283"/>
              <w:jc w:val="left"/>
              <w:rPr/>
            </w:pPr>
            <w:r>
              <w:rPr/>
              <w:t>48645282</w:t>
            </w:r>
          </w:p>
        </w:tc>
        <w:tc>
          <w:tcPr>
            <w:tcW w:w="1552" w:type="dxa"/>
            <w:tcBorders/>
            <w:vAlign w:val="center"/>
          </w:tcPr>
          <w:p>
            <w:pPr>
              <w:pStyle w:val="TableContents"/>
              <w:bidi w:val="0"/>
              <w:spacing w:before="0" w:after="283"/>
              <w:jc w:val="left"/>
              <w:rPr/>
            </w:pPr>
            <w:r>
              <w:rPr/>
              <w:t>08/14/2026</w:t>
            </w:r>
          </w:p>
        </w:tc>
        <w:tc>
          <w:tcPr>
            <w:tcW w:w="1350"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74"/>
        <w:gridCol w:w="1110"/>
        <w:gridCol w:w="1443"/>
        <w:gridCol w:w="1162"/>
        <w:gridCol w:w="518"/>
        <w:gridCol w:w="1110"/>
        <w:gridCol w:w="1159"/>
        <w:gridCol w:w="1051"/>
        <w:gridCol w:w="1578"/>
      </w:tblGrid>
      <w:tr>
        <w:trPr/>
        <w:tc>
          <w:tcPr>
            <w:tcW w:w="1074" w:type="dxa"/>
            <w:tcBorders/>
            <w:vAlign w:val="center"/>
          </w:tcPr>
          <w:p>
            <w:pPr>
              <w:pStyle w:val="TableHeading"/>
              <w:suppressLineNumbers/>
              <w:bidi w:val="0"/>
              <w:spacing w:before="0" w:after="283"/>
              <w:jc w:val="center"/>
              <w:rPr/>
            </w:pPr>
            <w:r>
              <w:rPr/>
              <w:t>Title of the Class</w:t>
            </w:r>
          </w:p>
        </w:tc>
        <w:tc>
          <w:tcPr>
            <w:tcW w:w="1110" w:type="dxa"/>
            <w:tcBorders/>
            <w:vAlign w:val="center"/>
          </w:tcPr>
          <w:p>
            <w:pPr>
              <w:pStyle w:val="TableHeading"/>
              <w:suppressLineNumbers/>
              <w:bidi w:val="0"/>
              <w:spacing w:before="0" w:after="283"/>
              <w:jc w:val="center"/>
              <w:rPr/>
            </w:pPr>
            <w:r>
              <w:rPr/>
              <w:t>Date you Acquired</w:t>
            </w:r>
          </w:p>
        </w:tc>
        <w:tc>
          <w:tcPr>
            <w:tcW w:w="1443" w:type="dxa"/>
            <w:tcBorders/>
            <w:vAlign w:val="center"/>
          </w:tcPr>
          <w:p>
            <w:pPr>
              <w:pStyle w:val="TableHeading"/>
              <w:suppressLineNumbers/>
              <w:bidi w:val="0"/>
              <w:spacing w:before="0" w:after="283"/>
              <w:jc w:val="center"/>
              <w:rPr/>
            </w:pPr>
            <w:r>
              <w:rPr/>
              <w:t>Nature of Acquisition Transaction</w:t>
            </w:r>
          </w:p>
        </w:tc>
        <w:tc>
          <w:tcPr>
            <w:tcW w:w="1162" w:type="dxa"/>
            <w:tcBorders/>
            <w:vAlign w:val="center"/>
          </w:tcPr>
          <w:p>
            <w:pPr>
              <w:pStyle w:val="TableHeading"/>
              <w:suppressLineNumbers/>
              <w:bidi w:val="0"/>
              <w:spacing w:before="0" w:after="283"/>
              <w:jc w:val="center"/>
              <w:rPr/>
            </w:pPr>
            <w:r>
              <w:rPr/>
              <w:t>Name of Person from Whom Acquired</w:t>
            </w:r>
          </w:p>
        </w:tc>
        <w:tc>
          <w:tcPr>
            <w:tcW w:w="518" w:type="dxa"/>
            <w:tcBorders/>
            <w:vAlign w:val="center"/>
          </w:tcPr>
          <w:p>
            <w:pPr>
              <w:pStyle w:val="TableHeading"/>
              <w:suppressLineNumbers/>
              <w:bidi w:val="0"/>
              <w:spacing w:before="0" w:after="283"/>
              <w:jc w:val="center"/>
              <w:rPr/>
            </w:pPr>
            <w:r>
              <w:rPr/>
              <w:t>Is this a Gift?</w:t>
            </w:r>
          </w:p>
        </w:tc>
        <w:tc>
          <w:tcPr>
            <w:tcW w:w="1110" w:type="dxa"/>
            <w:tcBorders/>
            <w:vAlign w:val="center"/>
          </w:tcPr>
          <w:p>
            <w:pPr>
              <w:pStyle w:val="TableHeading"/>
              <w:suppressLineNumbers/>
              <w:bidi w:val="0"/>
              <w:spacing w:before="0" w:after="283"/>
              <w:jc w:val="center"/>
              <w:rPr/>
            </w:pPr>
            <w:r>
              <w:rPr/>
              <w:t>Date Donor Acquired</w:t>
            </w:r>
          </w:p>
        </w:tc>
        <w:tc>
          <w:tcPr>
            <w:tcW w:w="1159" w:type="dxa"/>
            <w:tcBorders/>
            <w:vAlign w:val="center"/>
          </w:tcPr>
          <w:p>
            <w:pPr>
              <w:pStyle w:val="TableHeading"/>
              <w:suppressLineNumbers/>
              <w:bidi w:val="0"/>
              <w:spacing w:before="0" w:after="283"/>
              <w:jc w:val="center"/>
              <w:rPr/>
            </w:pPr>
            <w:r>
              <w:rPr/>
              <w:t>Amount of Securities Acquired</w:t>
            </w:r>
          </w:p>
        </w:tc>
        <w:tc>
          <w:tcPr>
            <w:tcW w:w="1051" w:type="dxa"/>
            <w:tcBorders/>
            <w:vAlign w:val="center"/>
          </w:tcPr>
          <w:p>
            <w:pPr>
              <w:pStyle w:val="TableHeading"/>
              <w:suppressLineNumbers/>
              <w:bidi w:val="0"/>
              <w:spacing w:before="0" w:after="283"/>
              <w:jc w:val="center"/>
              <w:rPr/>
            </w:pPr>
            <w:r>
              <w:rPr/>
              <w:t>Date of Payment</w:t>
            </w:r>
          </w:p>
        </w:tc>
        <w:tc>
          <w:tcPr>
            <w:tcW w:w="1578"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74" w:type="dxa"/>
            <w:tcBorders/>
            <w:vAlign w:val="center"/>
          </w:tcPr>
          <w:p>
            <w:pPr>
              <w:pStyle w:val="TableContents"/>
              <w:bidi w:val="0"/>
              <w:spacing w:before="0" w:after="283"/>
              <w:jc w:val="left"/>
              <w:rPr/>
            </w:pPr>
            <w:r>
              <w:rPr/>
              <w:t>Ordinary Shares</w:t>
            </w:r>
          </w:p>
        </w:tc>
        <w:tc>
          <w:tcPr>
            <w:tcW w:w="1110" w:type="dxa"/>
            <w:tcBorders/>
            <w:vAlign w:val="center"/>
          </w:tcPr>
          <w:p>
            <w:pPr>
              <w:pStyle w:val="TableContents"/>
              <w:bidi w:val="0"/>
              <w:spacing w:before="0" w:after="283"/>
              <w:jc w:val="left"/>
              <w:rPr/>
            </w:pPr>
            <w:r>
              <w:rPr/>
              <w:t>02/24/2026</w:t>
            </w:r>
          </w:p>
        </w:tc>
        <w:tc>
          <w:tcPr>
            <w:tcW w:w="1443" w:type="dxa"/>
            <w:tcBorders/>
            <w:vAlign w:val="center"/>
          </w:tcPr>
          <w:p>
            <w:pPr>
              <w:pStyle w:val="TableContents"/>
              <w:bidi w:val="0"/>
              <w:spacing w:before="0" w:after="283"/>
              <w:jc w:val="left"/>
              <w:rPr/>
            </w:pPr>
            <w:r>
              <w:rPr/>
              <w:t>Shares issued upon vesting of RSUs</w:t>
            </w:r>
          </w:p>
        </w:tc>
        <w:tc>
          <w:tcPr>
            <w:tcW w:w="1162" w:type="dxa"/>
            <w:tcBorders/>
            <w:vAlign w:val="center"/>
          </w:tcPr>
          <w:p>
            <w:pPr>
              <w:pStyle w:val="TableContents"/>
              <w:bidi w:val="0"/>
              <w:spacing w:before="0" w:after="283"/>
              <w:jc w:val="left"/>
              <w:rPr/>
            </w:pPr>
            <w:r>
              <w:rPr/>
              <w:t>Allot Ltd.</w:t>
            </w:r>
          </w:p>
        </w:tc>
        <w:tc>
          <w:tcPr>
            <w:tcW w:w="518"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10"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pPr>
            <w:r>
              <w:rPr/>
              <w:t>22233</w:t>
            </w:r>
          </w:p>
        </w:tc>
        <w:tc>
          <w:tcPr>
            <w:tcW w:w="1051" w:type="dxa"/>
            <w:tcBorders/>
            <w:vAlign w:val="center"/>
          </w:tcPr>
          <w:p>
            <w:pPr>
              <w:pStyle w:val="TableContents"/>
              <w:bidi w:val="0"/>
              <w:spacing w:before="0" w:after="283"/>
              <w:jc w:val="left"/>
              <w:rPr/>
            </w:pPr>
            <w:r>
              <w:rPr/>
              <w:t>02/24/2026</w:t>
            </w:r>
          </w:p>
        </w:tc>
        <w:tc>
          <w:tcPr>
            <w:tcW w:w="1578" w:type="dxa"/>
            <w:tcBorders/>
            <w:vAlign w:val="center"/>
          </w:tcPr>
          <w:p>
            <w:pPr>
              <w:pStyle w:val="TableContents"/>
              <w:bidi w:val="0"/>
              <w:spacing w:before="0" w:after="283"/>
              <w:jc w:val="left"/>
              <w:rPr/>
            </w:pPr>
            <w:r>
              <w:rPr/>
              <w:t>No consideration, shares issued upon vesting of RSUs</w:t>
            </w:r>
          </w:p>
        </w:tc>
      </w:tr>
      <w:tr>
        <w:trPr/>
        <w:tc>
          <w:tcPr>
            <w:tcW w:w="1074" w:type="dxa"/>
            <w:tcBorders/>
            <w:vAlign w:val="center"/>
          </w:tcPr>
          <w:p>
            <w:pPr>
              <w:pStyle w:val="TableContents"/>
              <w:bidi w:val="0"/>
              <w:spacing w:before="0" w:after="283"/>
              <w:jc w:val="left"/>
              <w:rPr/>
            </w:pPr>
            <w:r>
              <w:rPr/>
              <w:t>Ordinary Shares</w:t>
            </w:r>
          </w:p>
        </w:tc>
        <w:tc>
          <w:tcPr>
            <w:tcW w:w="1110" w:type="dxa"/>
            <w:tcBorders/>
            <w:vAlign w:val="center"/>
          </w:tcPr>
          <w:p>
            <w:pPr>
              <w:pStyle w:val="TableContents"/>
              <w:bidi w:val="0"/>
              <w:spacing w:before="0" w:after="283"/>
              <w:jc w:val="left"/>
              <w:rPr/>
            </w:pPr>
            <w:r>
              <w:rPr/>
              <w:t>02/24/2026</w:t>
            </w:r>
          </w:p>
        </w:tc>
        <w:tc>
          <w:tcPr>
            <w:tcW w:w="1443" w:type="dxa"/>
            <w:tcBorders/>
            <w:vAlign w:val="center"/>
          </w:tcPr>
          <w:p>
            <w:pPr>
              <w:pStyle w:val="TableContents"/>
              <w:bidi w:val="0"/>
              <w:spacing w:before="0" w:after="283"/>
              <w:jc w:val="left"/>
              <w:rPr/>
            </w:pPr>
            <w:r>
              <w:rPr/>
              <w:t>Shares issued upon vesting of RSUs</w:t>
            </w:r>
          </w:p>
        </w:tc>
        <w:tc>
          <w:tcPr>
            <w:tcW w:w="1162" w:type="dxa"/>
            <w:tcBorders/>
            <w:vAlign w:val="center"/>
          </w:tcPr>
          <w:p>
            <w:pPr>
              <w:pStyle w:val="TableContents"/>
              <w:bidi w:val="0"/>
              <w:spacing w:before="0" w:after="283"/>
              <w:jc w:val="left"/>
              <w:rPr/>
            </w:pPr>
            <w:r>
              <w:rPr/>
              <w:t>Allot Ltd.</w:t>
            </w:r>
          </w:p>
        </w:tc>
        <w:tc>
          <w:tcPr>
            <w:tcW w:w="518"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10"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pPr>
            <w:r>
              <w:rPr/>
              <w:t>4433</w:t>
            </w:r>
          </w:p>
        </w:tc>
        <w:tc>
          <w:tcPr>
            <w:tcW w:w="1051" w:type="dxa"/>
            <w:tcBorders/>
            <w:vAlign w:val="center"/>
          </w:tcPr>
          <w:p>
            <w:pPr>
              <w:pStyle w:val="TableContents"/>
              <w:bidi w:val="0"/>
              <w:spacing w:before="0" w:after="283"/>
              <w:jc w:val="left"/>
              <w:rPr/>
            </w:pPr>
            <w:r>
              <w:rPr/>
              <w:t>02/24/2026</w:t>
            </w:r>
          </w:p>
        </w:tc>
        <w:tc>
          <w:tcPr>
            <w:tcW w:w="1578" w:type="dxa"/>
            <w:tcBorders/>
            <w:vAlign w:val="center"/>
          </w:tcPr>
          <w:p>
            <w:pPr>
              <w:pStyle w:val="TableContents"/>
              <w:bidi w:val="0"/>
              <w:spacing w:before="0" w:after="283"/>
              <w:jc w:val="left"/>
              <w:rPr/>
            </w:pPr>
            <w:r>
              <w:rPr/>
              <w:t>No consideration, shares issued upon vesting of RSUs</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4371"/>
        <w:gridCol w:w="5834"/>
      </w:tblGrid>
      <w:tr>
        <w:trPr/>
        <w:tc>
          <w:tcPr>
            <w:tcW w:w="4371" w:type="dxa"/>
            <w:tcBorders/>
            <w:vAlign w:val="center"/>
          </w:tcPr>
          <w:p>
            <w:pPr>
              <w:pStyle w:val="TableContents"/>
              <w:bidi w:val="0"/>
              <w:spacing w:before="0" w:after="283"/>
              <w:jc w:val="left"/>
              <w:rPr/>
            </w:pPr>
            <w:r>
              <w:rPr/>
              <w:t>Remarks</w:t>
            </w:r>
          </w:p>
        </w:tc>
        <w:tc>
          <w:tcPr>
            <w:tcW w:w="5834" w:type="dxa"/>
            <w:tcBorders/>
            <w:vAlign w:val="center"/>
          </w:tcPr>
          <w:p>
            <w:pPr>
              <w:pStyle w:val="TableContents"/>
              <w:bidi w:val="0"/>
              <w:spacing w:before="0" w:after="0"/>
              <w:jc w:val="left"/>
              <w:rPr/>
            </w:pPr>
            <w:r>
              <w:rPr/>
              <w:t xml:space="preserve">The securities are being sold pursuant to a Rule 10b5-1 trading plan adopted on 05/14/2026 </w:t>
            </w:r>
          </w:p>
        </w:tc>
      </w:tr>
      <w:tr>
        <w:trPr/>
        <w:tc>
          <w:tcPr>
            <w:tcW w:w="4371" w:type="dxa"/>
            <w:tcBorders/>
            <w:vAlign w:val="center"/>
          </w:tcPr>
          <w:p>
            <w:pPr>
              <w:pStyle w:val="TableContents"/>
              <w:bidi w:val="0"/>
              <w:spacing w:before="0" w:after="283"/>
              <w:jc w:val="left"/>
              <w:rPr/>
            </w:pPr>
            <w:r>
              <w:rPr/>
              <w:t>Date of Notice</w:t>
            </w:r>
          </w:p>
        </w:tc>
        <w:tc>
          <w:tcPr>
            <w:tcW w:w="5834" w:type="dxa"/>
            <w:tcBorders/>
            <w:vAlign w:val="center"/>
          </w:tcPr>
          <w:p>
            <w:pPr>
              <w:pStyle w:val="TableContents"/>
              <w:bidi w:val="0"/>
              <w:spacing w:before="0" w:after="0"/>
              <w:jc w:val="left"/>
              <w:rPr/>
            </w:pPr>
            <w:r>
              <w:rPr/>
              <w:t>08/14/2026</w:t>
            </w:r>
          </w:p>
        </w:tc>
      </w:tr>
      <w:tr>
        <w:trPr/>
        <w:tc>
          <w:tcPr>
            <w:tcW w:w="4371" w:type="dxa"/>
            <w:tcBorders/>
            <w:vAlign w:val="center"/>
          </w:tcPr>
          <w:p>
            <w:pPr>
              <w:pStyle w:val="TableContents"/>
              <w:bidi w:val="0"/>
              <w:spacing w:before="0" w:after="283"/>
              <w:jc w:val="left"/>
              <w:rPr/>
            </w:pPr>
            <w:r>
              <w:rPr/>
              <w:t>Date of Plan Adoption or Giving of Instruction, If Relying on Rule 10b5-1</w:t>
            </w:r>
          </w:p>
        </w:tc>
        <w:tc>
          <w:tcPr>
            <w:tcW w:w="5834" w:type="dxa"/>
            <w:tcBorders/>
            <w:vAlign w:val="center"/>
          </w:tcPr>
          <w:p>
            <w:pPr>
              <w:pStyle w:val="TableContents"/>
              <w:bidi w:val="0"/>
              <w:spacing w:before="0" w:after="0"/>
              <w:jc w:val="left"/>
              <w:rPr/>
            </w:pPr>
            <w:r>
              <w:rPr/>
              <w:t>05/14/2026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371" w:type="dxa"/>
            <w:tcBorders/>
            <w:vAlign w:val="center"/>
          </w:tcPr>
          <w:p>
            <w:pPr>
              <w:pStyle w:val="TableContents"/>
              <w:bidi w:val="0"/>
              <w:spacing w:before="0" w:after="283"/>
              <w:jc w:val="left"/>
              <w:rPr/>
            </w:pPr>
            <w:r>
              <w:rPr/>
              <w:t>Signature</w:t>
            </w:r>
          </w:p>
        </w:tc>
        <w:tc>
          <w:tcPr>
            <w:tcW w:w="5834" w:type="dxa"/>
            <w:tcBorders/>
            <w:vAlign w:val="center"/>
          </w:tcPr>
          <w:p>
            <w:pPr>
              <w:pStyle w:val="TableContents"/>
              <w:bidi w:val="0"/>
              <w:spacing w:before="0" w:after="0"/>
              <w:jc w:val="left"/>
              <w:rPr/>
            </w:pPr>
            <w:r>
              <w:rPr/>
              <w:t>Gili Groner By: /s/ Yohanan Azriel Title: Authorized Signatory, Oppenheimer Israel (pursuant to delegation)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647</Words>
  <Characters>3291</Characters>
  <CharactersWithSpaces>3875</CharactersWithSpaces>
  <Paragraphs>88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