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Allot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ILS 0.10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Adriana Schwartz, Esq.</w:t>
              <w:br/>
              <w:t>One Battery Park Plaza, Seward &amp; Kissel LLP</w:t>
              <w:br/>
              <w:t>New York, NY, 10004</w:t>
              <w:br/>
              <w:t>(212) 574-1200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QVT Financial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5,734,812.00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5,734,812.00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5,734,812.00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11.72 %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Item 1.</w:t>
            </w:r>
          </w:p>
        </w:tc>
        <w:tc>
          <w:tcPr>
            <w:tcW w:w="9039" w:type="dxa"/>
            <w:tcBorders/>
            <w:vAlign w:val="center"/>
          </w:tcPr>
          <w:p>
            <w:pPr>
              <w:pStyle w:val="TableContents"/>
              <w:bidi w:val="0"/>
              <w:spacing w:before="0" w:after="283"/>
              <w:jc w:val="left"/>
              <w:rPr/>
            </w:pPr>
            <w:r>
              <w:rPr/>
              <w:t>Security and Issuer</w:t>
            </w:r>
          </w:p>
        </w:tc>
      </w:tr>
      <w:tr>
        <w:trPr/>
        <w:tc>
          <w:tcPr>
            <w:tcW w:w="1166" w:type="dxa"/>
            <w:tcBorders/>
            <w:vAlign w:val="center"/>
          </w:tcPr>
          <w:p>
            <w:pPr>
              <w:pStyle w:val="TableContents"/>
              <w:bidi w:val="0"/>
              <w:spacing w:before="0" w:after="283"/>
              <w:jc w:val="left"/>
              <w:rPr/>
            </w:pPr>
            <w:r>
              <w:rPr/>
              <w:t>(a)</w:t>
            </w:r>
          </w:p>
        </w:tc>
        <w:tc>
          <w:tcPr>
            <w:tcW w:w="90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ILS 0.10 per share</w:t>
            </w:r>
          </w:p>
        </w:tc>
      </w:tr>
      <w:tr>
        <w:trPr/>
        <w:tc>
          <w:tcPr>
            <w:tcW w:w="1166" w:type="dxa"/>
            <w:tcBorders/>
            <w:vAlign w:val="center"/>
          </w:tcPr>
          <w:p>
            <w:pPr>
              <w:pStyle w:val="TableContents"/>
              <w:bidi w:val="0"/>
              <w:spacing w:before="0" w:after="283"/>
              <w:jc w:val="left"/>
              <w:rPr/>
            </w:pPr>
            <w:r>
              <w:rPr/>
              <w:t>(b)</w:t>
            </w:r>
          </w:p>
        </w:tc>
        <w:tc>
          <w:tcPr>
            <w:tcW w:w="9039" w:type="dxa"/>
            <w:tcBorders/>
            <w:vAlign w:val="center"/>
          </w:tcPr>
          <w:p>
            <w:pPr>
              <w:pStyle w:val="TableContents"/>
              <w:bidi w:val="0"/>
              <w:jc w:val="left"/>
              <w:rPr/>
            </w:pPr>
            <w:r>
              <w:rPr/>
              <w:t xml:space="preserve">Name of Issuer: </w:t>
            </w:r>
          </w:p>
          <w:p>
            <w:pPr>
              <w:pStyle w:val="TableContents"/>
              <w:bidi w:val="0"/>
              <w:spacing w:before="0" w:after="0"/>
              <w:jc w:val="left"/>
              <w:rPr/>
            </w:pPr>
            <w:r>
              <w:rPr/>
              <w:t>Allot Ltd.</w:t>
            </w:r>
          </w:p>
        </w:tc>
      </w:tr>
      <w:tr>
        <w:trPr/>
        <w:tc>
          <w:tcPr>
            <w:tcW w:w="1166" w:type="dxa"/>
            <w:tcBorders/>
            <w:vAlign w:val="center"/>
          </w:tcPr>
          <w:p>
            <w:pPr>
              <w:pStyle w:val="TableContents"/>
              <w:bidi w:val="0"/>
              <w:spacing w:before="0" w:after="283"/>
              <w:jc w:val="left"/>
              <w:rPr/>
            </w:pPr>
            <w:r>
              <w:rPr/>
              <w:t>(c)</w:t>
            </w:r>
          </w:p>
        </w:tc>
        <w:tc>
          <w:tcPr>
            <w:tcW w:w="90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 Hanagar Street, Neve Ne'eman Industrial Zone B, Hod-Hasharon, ISRAEL , 4051317.</w:t>
            </w:r>
          </w:p>
        </w:tc>
      </w:tr>
      <w:tr>
        <w:trPr/>
        <w:tc>
          <w:tcPr>
            <w:tcW w:w="1166" w:type="dxa"/>
            <w:tcBorders/>
            <w:vAlign w:val="center"/>
          </w:tcPr>
          <w:p>
            <w:pPr>
              <w:pStyle w:val="TableContents"/>
              <w:bidi w:val="0"/>
              <w:spacing w:before="0" w:after="283"/>
              <w:jc w:val="left"/>
              <w:rPr/>
            </w:pPr>
            <w:r>
              <w:rPr/>
              <w:t>Item 2.</w:t>
            </w:r>
          </w:p>
        </w:tc>
        <w:tc>
          <w:tcPr>
            <w:tcW w:w="9039" w:type="dxa"/>
            <w:tcBorders/>
            <w:vAlign w:val="center"/>
          </w:tcPr>
          <w:p>
            <w:pPr>
              <w:pStyle w:val="TableContents"/>
              <w:bidi w:val="0"/>
              <w:spacing w:before="0" w:after="283"/>
              <w:jc w:val="left"/>
              <w:rPr/>
            </w:pPr>
            <w:r>
              <w:rPr/>
              <w:t>Identity and Background</w:t>
            </w:r>
          </w:p>
        </w:tc>
      </w:tr>
      <w:tr>
        <w:trPr/>
        <w:tc>
          <w:tcPr>
            <w:tcW w:w="1166" w:type="dxa"/>
            <w:tcBorders/>
            <w:vAlign w:val="center"/>
          </w:tcPr>
          <w:p>
            <w:pPr>
              <w:pStyle w:val="TableContents"/>
              <w:bidi w:val="0"/>
              <w:spacing w:before="0" w:after="283"/>
              <w:jc w:val="left"/>
              <w:rPr/>
            </w:pPr>
            <w:r>
              <w:rPr/>
              <w:t>(a)</w:t>
            </w:r>
          </w:p>
        </w:tc>
        <w:tc>
          <w:tcPr>
            <w:tcW w:w="9039" w:type="dxa"/>
            <w:tcBorders/>
            <w:vAlign w:val="center"/>
          </w:tcPr>
          <w:p>
            <w:pPr>
              <w:pStyle w:val="TableContents"/>
              <w:bidi w:val="0"/>
              <w:spacing w:before="0" w:after="0"/>
              <w:jc w:val="left"/>
              <w:rPr/>
            </w:pPr>
            <w:r>
              <w:rPr/>
              <w:t>QVT Financial LP</w:t>
            </w:r>
          </w:p>
        </w:tc>
      </w:tr>
      <w:tr>
        <w:trPr/>
        <w:tc>
          <w:tcPr>
            <w:tcW w:w="1166" w:type="dxa"/>
            <w:tcBorders/>
            <w:vAlign w:val="center"/>
          </w:tcPr>
          <w:p>
            <w:pPr>
              <w:pStyle w:val="TableContents"/>
              <w:bidi w:val="0"/>
              <w:spacing w:before="0" w:after="283"/>
              <w:jc w:val="left"/>
              <w:rPr/>
            </w:pPr>
            <w:r>
              <w:rPr/>
              <w:t>(b)</w:t>
            </w:r>
          </w:p>
        </w:tc>
        <w:tc>
          <w:tcPr>
            <w:tcW w:w="9039" w:type="dxa"/>
            <w:tcBorders/>
            <w:vAlign w:val="center"/>
          </w:tcPr>
          <w:p>
            <w:pPr>
              <w:pStyle w:val="TableContents"/>
              <w:bidi w:val="0"/>
              <w:spacing w:before="0" w:after="0"/>
              <w:jc w:val="left"/>
              <w:rPr/>
            </w:pPr>
            <w:r>
              <w:rPr/>
              <w:t>888 Seventh Avenue, 43rd Floor, New York, NY 10106</w:t>
            </w:r>
          </w:p>
        </w:tc>
      </w:tr>
      <w:tr>
        <w:trPr/>
        <w:tc>
          <w:tcPr>
            <w:tcW w:w="1166" w:type="dxa"/>
            <w:tcBorders/>
            <w:vAlign w:val="center"/>
          </w:tcPr>
          <w:p>
            <w:pPr>
              <w:pStyle w:val="TableContents"/>
              <w:bidi w:val="0"/>
              <w:spacing w:before="0" w:after="283"/>
              <w:jc w:val="left"/>
              <w:rPr/>
            </w:pPr>
            <w:r>
              <w:rPr/>
              <w:t>(c)</w:t>
            </w:r>
          </w:p>
        </w:tc>
        <w:tc>
          <w:tcPr>
            <w:tcW w:w="9039" w:type="dxa"/>
            <w:tcBorders/>
            <w:vAlign w:val="center"/>
          </w:tcPr>
          <w:p>
            <w:pPr>
              <w:pStyle w:val="TableContents"/>
              <w:bidi w:val="0"/>
              <w:spacing w:before="0" w:after="0"/>
              <w:jc w:val="left"/>
              <w:rPr/>
            </w:pPr>
            <w:r>
              <w:rPr/>
              <w:t>Investment management</w:t>
            </w:r>
          </w:p>
        </w:tc>
      </w:tr>
      <w:tr>
        <w:trPr/>
        <w:tc>
          <w:tcPr>
            <w:tcW w:w="1166" w:type="dxa"/>
            <w:tcBorders/>
            <w:vAlign w:val="center"/>
          </w:tcPr>
          <w:p>
            <w:pPr>
              <w:pStyle w:val="TableContents"/>
              <w:bidi w:val="0"/>
              <w:spacing w:before="0" w:after="283"/>
              <w:jc w:val="left"/>
              <w:rPr/>
            </w:pPr>
            <w:r>
              <w:rPr/>
              <w:t>(d)</w:t>
            </w:r>
          </w:p>
        </w:tc>
        <w:tc>
          <w:tcPr>
            <w:tcW w:w="9039" w:type="dxa"/>
            <w:tcBorders/>
            <w:vAlign w:val="center"/>
          </w:tcPr>
          <w:p>
            <w:pPr>
              <w:pStyle w:val="TableContents"/>
              <w:bidi w:val="0"/>
              <w:spacing w:before="0" w:after="0"/>
              <w:jc w:val="left"/>
              <w:rPr/>
            </w:pPr>
            <w:r>
              <w:rPr/>
              <w:t>Not applicable</w:t>
            </w:r>
          </w:p>
        </w:tc>
      </w:tr>
      <w:tr>
        <w:trPr/>
        <w:tc>
          <w:tcPr>
            <w:tcW w:w="1166" w:type="dxa"/>
            <w:tcBorders/>
            <w:vAlign w:val="center"/>
          </w:tcPr>
          <w:p>
            <w:pPr>
              <w:pStyle w:val="TableContents"/>
              <w:bidi w:val="0"/>
              <w:spacing w:before="0" w:after="283"/>
              <w:jc w:val="left"/>
              <w:rPr/>
            </w:pPr>
            <w:r>
              <w:rPr/>
              <w:t>(e)</w:t>
            </w:r>
          </w:p>
        </w:tc>
        <w:tc>
          <w:tcPr>
            <w:tcW w:w="9039" w:type="dxa"/>
            <w:tcBorders/>
            <w:vAlign w:val="center"/>
          </w:tcPr>
          <w:p>
            <w:pPr>
              <w:pStyle w:val="TableContents"/>
              <w:bidi w:val="0"/>
              <w:spacing w:before="0" w:after="0"/>
              <w:jc w:val="left"/>
              <w:rPr/>
            </w:pPr>
            <w:r>
              <w:rPr/>
              <w:t>Not applicable</w:t>
            </w:r>
          </w:p>
        </w:tc>
      </w:tr>
      <w:tr>
        <w:trPr/>
        <w:tc>
          <w:tcPr>
            <w:tcW w:w="1166" w:type="dxa"/>
            <w:tcBorders/>
            <w:vAlign w:val="center"/>
          </w:tcPr>
          <w:p>
            <w:pPr>
              <w:pStyle w:val="TableContents"/>
              <w:bidi w:val="0"/>
              <w:spacing w:before="0" w:after="283"/>
              <w:jc w:val="left"/>
              <w:rPr/>
            </w:pPr>
            <w:r>
              <w:rPr/>
              <w:t>(f)</w:t>
            </w:r>
          </w:p>
        </w:tc>
        <w:tc>
          <w:tcPr>
            <w:tcW w:w="9039" w:type="dxa"/>
            <w:tcBorders/>
            <w:vAlign w:val="center"/>
          </w:tcPr>
          <w:p>
            <w:pPr>
              <w:pStyle w:val="TableContents"/>
              <w:bidi w:val="0"/>
              <w:spacing w:before="0" w:after="0"/>
              <w:jc w:val="left"/>
              <w:rPr/>
            </w:pPr>
            <w:r>
              <w:rPr/>
              <w:t>United States of America</w:t>
            </w:r>
          </w:p>
        </w:tc>
      </w:tr>
      <w:tr>
        <w:trPr/>
        <w:tc>
          <w:tcPr>
            <w:tcW w:w="1166" w:type="dxa"/>
            <w:tcBorders/>
            <w:vAlign w:val="center"/>
          </w:tcPr>
          <w:p>
            <w:pPr>
              <w:pStyle w:val="TableContents"/>
              <w:bidi w:val="0"/>
              <w:spacing w:before="0" w:after="283"/>
              <w:jc w:val="left"/>
              <w:rPr/>
            </w:pPr>
            <w:r>
              <w:rPr/>
              <w:t>Item 3.</w:t>
            </w:r>
          </w:p>
        </w:tc>
        <w:tc>
          <w:tcPr>
            <w:tcW w:w="9039" w:type="dxa"/>
            <w:tcBorders/>
            <w:vAlign w:val="center"/>
          </w:tcPr>
          <w:p>
            <w:pPr>
              <w:pStyle w:val="TableContents"/>
              <w:bidi w:val="0"/>
              <w:spacing w:before="0" w:after="283"/>
              <w:jc w:val="left"/>
              <w:rPr/>
            </w:pPr>
            <w:r>
              <w:rPr/>
              <w:t>Source and Amount of Funds or Other Consideration</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The Ordinary Shares beneficially owned by the Reporting Persons were purchased with working capital (which may, at any given time, include margin loans made by brokerage firms in the ordinary course of business) in open market purchases, except as otherwise noted. The aggregate purchase price of the 5,734,812 Ordinary Shares beneficially owned is approximately $41,518,559, excluding brokerage commissions.</w:t>
            </w:r>
          </w:p>
        </w:tc>
      </w:tr>
      <w:tr>
        <w:trPr/>
        <w:tc>
          <w:tcPr>
            <w:tcW w:w="1166" w:type="dxa"/>
            <w:tcBorders/>
            <w:vAlign w:val="center"/>
          </w:tcPr>
          <w:p>
            <w:pPr>
              <w:pStyle w:val="TableContents"/>
              <w:bidi w:val="0"/>
              <w:spacing w:before="0" w:after="283"/>
              <w:jc w:val="left"/>
              <w:rPr/>
            </w:pPr>
            <w:r>
              <w:rPr/>
              <w:t>Item 4.</w:t>
            </w:r>
          </w:p>
        </w:tc>
        <w:tc>
          <w:tcPr>
            <w:tcW w:w="9039" w:type="dxa"/>
            <w:tcBorders/>
            <w:vAlign w:val="center"/>
          </w:tcPr>
          <w:p>
            <w:pPr>
              <w:pStyle w:val="TableContents"/>
              <w:bidi w:val="0"/>
              <w:spacing w:before="0" w:after="283"/>
              <w:jc w:val="left"/>
              <w:rPr/>
            </w:pPr>
            <w:r>
              <w:rPr/>
              <w:t>Purpose of Transaction</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The Reporting Persons expect to review on a continuing basis their investment in the Ordinary Shares and the Issuer's business, affairs, operations, financial position, capital needs, governance, management, strategy and future plans. As part of their review, they may from time to time engage in discussions or otherwise communicate about such matters with others, including, without limitation, members of the Board, management or representatives of the Issuer, other shareholders of the Issuer and other relevant parties. Based on such review and any such communications, as well as general economic, market and industry conditions and prospects existing at the time, the Reporting Persons may, subject to any then existing legal or contractual limitations: (a) purchase additional shares of Ordinary Shares, warrants, options or related derivatives in the open market, in privately negotiated transactions or otherwise; (b) sell all or a portion of the Shares of Ordinary Shares, warrants, options or related derivatives now beneficially owned or hereafter acquired by them; (c) enter into and/or dispose of certain derivative transactions with one or more counterparties and/or (d) to the extent permitted by applicable laws, borrow securities, including the Ordinary Shares, for the purpose of effecting, and effect, short sale transactions, and purchase securities for the purpose of closing out short positions in such securities. In addition, the Reporting Persons may evaluate, discuss and/or take action with respect to plans or proposals that could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(g) changes in the Issuer's charter, by-laws or instruments corresponding thereto or other actions which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Exchange Act; or (j) any action similar to any of those enumerated above. The Reporting Persons may, at any time, review or reconsider their position with respect to the Issuer and formulate plans or proposals with respect to any of such matters, but have no present intention of doing so. The Reporting Persons are not obligated to take or refrain from taking any action with respect to any plans or proposals that the Reporting Persons may evaluate, discuss or determine to pursue. Accordingly, the Reporting Persons reserve the right to revise their plans or intentions at any time and to take any and all action that they may deem appropriate to maximize the value of their investment in the Issuer in light of their general investment policies, market conditions, subsequent developments regarding or affecting the Issuer and the general business and future prospects of the Issuer.</w:t>
            </w:r>
          </w:p>
        </w:tc>
      </w:tr>
      <w:tr>
        <w:trPr/>
        <w:tc>
          <w:tcPr>
            <w:tcW w:w="1166" w:type="dxa"/>
            <w:tcBorders/>
            <w:vAlign w:val="center"/>
          </w:tcPr>
          <w:p>
            <w:pPr>
              <w:pStyle w:val="TableContents"/>
              <w:bidi w:val="0"/>
              <w:spacing w:before="0" w:after="283"/>
              <w:jc w:val="left"/>
              <w:rPr/>
            </w:pPr>
            <w:r>
              <w:rPr/>
              <w:t>Item 5.</w:t>
            </w:r>
          </w:p>
        </w:tc>
        <w:tc>
          <w:tcPr>
            <w:tcW w:w="9039" w:type="dxa"/>
            <w:tcBorders/>
            <w:vAlign w:val="center"/>
          </w:tcPr>
          <w:p>
            <w:pPr>
              <w:pStyle w:val="TableContents"/>
              <w:bidi w:val="0"/>
              <w:spacing w:before="0" w:after="283"/>
              <w:jc w:val="left"/>
              <w:rPr/>
            </w:pPr>
            <w:r>
              <w:rPr/>
              <w:t>Interest in Securities of the Issuer</w:t>
            </w:r>
          </w:p>
        </w:tc>
      </w:tr>
      <w:tr>
        <w:trPr/>
        <w:tc>
          <w:tcPr>
            <w:tcW w:w="1166" w:type="dxa"/>
            <w:tcBorders/>
            <w:vAlign w:val="center"/>
          </w:tcPr>
          <w:p>
            <w:pPr>
              <w:pStyle w:val="TableContents"/>
              <w:bidi w:val="0"/>
              <w:spacing w:before="0" w:after="283"/>
              <w:jc w:val="left"/>
              <w:rPr/>
            </w:pPr>
            <w:r>
              <w:rPr/>
              <w:t>(a)</w:t>
            </w:r>
          </w:p>
        </w:tc>
        <w:tc>
          <w:tcPr>
            <w:tcW w:w="9039" w:type="dxa"/>
            <w:tcBorders/>
            <w:vAlign w:val="center"/>
          </w:tcPr>
          <w:p>
            <w:pPr>
              <w:pStyle w:val="TableContents"/>
              <w:bidi w:val="0"/>
              <w:spacing w:before="0" w:after="0"/>
              <w:jc w:val="left"/>
              <w:rPr/>
            </w:pPr>
            <w:r>
              <w:rPr/>
              <w:t>All percentages referred to on the cover pages are determined using a denominator of 48,923,099 Ordinary Shares outstanding as of March 6, 2026, as reported in the Issuer's Annual Report on Form 20-F filed with the Securities and Exchange Commission ("SEC") on March 26, 2026.</w:t>
            </w:r>
          </w:p>
        </w:tc>
      </w:tr>
      <w:tr>
        <w:trPr/>
        <w:tc>
          <w:tcPr>
            <w:tcW w:w="1166" w:type="dxa"/>
            <w:tcBorders/>
            <w:vAlign w:val="center"/>
          </w:tcPr>
          <w:p>
            <w:pPr>
              <w:pStyle w:val="TableContents"/>
              <w:bidi w:val="0"/>
              <w:spacing w:before="0" w:after="283"/>
              <w:jc w:val="left"/>
              <w:rPr/>
            </w:pPr>
            <w:r>
              <w:rPr/>
              <w:t>(b)</w:t>
            </w:r>
          </w:p>
        </w:tc>
        <w:tc>
          <w:tcPr>
            <w:tcW w:w="9039" w:type="dxa"/>
            <w:tcBorders/>
            <w:vAlign w:val="center"/>
          </w:tcPr>
          <w:p>
            <w:pPr>
              <w:pStyle w:val="TableContents"/>
              <w:bidi w:val="0"/>
              <w:spacing w:before="0" w:after="0"/>
              <w:jc w:val="left"/>
              <w:rPr/>
            </w:pPr>
            <w:r>
              <w:rPr/>
              <w:t>5,734,812</w:t>
            </w:r>
          </w:p>
        </w:tc>
      </w:tr>
      <w:tr>
        <w:trPr/>
        <w:tc>
          <w:tcPr>
            <w:tcW w:w="1166" w:type="dxa"/>
            <w:tcBorders/>
            <w:vAlign w:val="center"/>
          </w:tcPr>
          <w:p>
            <w:pPr>
              <w:pStyle w:val="TableContents"/>
              <w:bidi w:val="0"/>
              <w:spacing w:before="0" w:after="283"/>
              <w:jc w:val="left"/>
              <w:rPr/>
            </w:pPr>
            <w:r>
              <w:rPr/>
              <w:t>(c)</w:t>
            </w:r>
          </w:p>
        </w:tc>
        <w:tc>
          <w:tcPr>
            <w:tcW w:w="9039" w:type="dxa"/>
            <w:tcBorders/>
            <w:vAlign w:val="center"/>
          </w:tcPr>
          <w:p>
            <w:pPr>
              <w:pStyle w:val="TableContents"/>
              <w:bidi w:val="0"/>
              <w:spacing w:before="0" w:after="0"/>
              <w:jc w:val="left"/>
              <w:rPr/>
            </w:pPr>
            <w:r>
              <w:rPr/>
              <w:t xml:space="preserve">The transactions in the Ordinary Shares during the past 60 days by the Reporting Persons are set forth on Exhibit 1 attached hereto and are incorporated herein by reference. </w:t>
            </w:r>
          </w:p>
        </w:tc>
      </w:tr>
      <w:tr>
        <w:trPr/>
        <w:tc>
          <w:tcPr>
            <w:tcW w:w="1166" w:type="dxa"/>
            <w:tcBorders/>
            <w:vAlign w:val="center"/>
          </w:tcPr>
          <w:p>
            <w:pPr>
              <w:pStyle w:val="TableContents"/>
              <w:bidi w:val="0"/>
              <w:spacing w:before="0" w:after="283"/>
              <w:jc w:val="left"/>
              <w:rPr/>
            </w:pPr>
            <w:r>
              <w:rPr/>
              <w:t>(d)</w:t>
            </w:r>
          </w:p>
        </w:tc>
        <w:tc>
          <w:tcPr>
            <w:tcW w:w="9039" w:type="dxa"/>
            <w:tcBorders/>
            <w:vAlign w:val="center"/>
          </w:tcPr>
          <w:p>
            <w:pPr>
              <w:pStyle w:val="TableContents"/>
              <w:bidi w:val="0"/>
              <w:spacing w:before="0" w:after="0"/>
              <w:jc w:val="left"/>
              <w:rPr/>
            </w:pPr>
            <w:r>
              <w:rPr/>
              <w:t>Not applicable</w:t>
            </w:r>
          </w:p>
        </w:tc>
      </w:tr>
      <w:tr>
        <w:trPr/>
        <w:tc>
          <w:tcPr>
            <w:tcW w:w="1166" w:type="dxa"/>
            <w:tcBorders/>
            <w:vAlign w:val="center"/>
          </w:tcPr>
          <w:p>
            <w:pPr>
              <w:pStyle w:val="TableContents"/>
              <w:bidi w:val="0"/>
              <w:spacing w:before="0" w:after="283"/>
              <w:jc w:val="left"/>
              <w:rPr/>
            </w:pPr>
            <w:r>
              <w:rPr/>
              <w:t>(e)</w:t>
            </w:r>
          </w:p>
        </w:tc>
        <w:tc>
          <w:tcPr>
            <w:tcW w:w="9039" w:type="dxa"/>
            <w:tcBorders/>
            <w:vAlign w:val="center"/>
          </w:tcPr>
          <w:p>
            <w:pPr>
              <w:pStyle w:val="TableContents"/>
              <w:bidi w:val="0"/>
              <w:spacing w:before="0" w:after="0"/>
              <w:jc w:val="left"/>
              <w:rPr/>
            </w:pPr>
            <w:r>
              <w:rPr/>
              <w:t>Not applicable</w:t>
            </w:r>
          </w:p>
        </w:tc>
      </w:tr>
      <w:tr>
        <w:trPr/>
        <w:tc>
          <w:tcPr>
            <w:tcW w:w="1166" w:type="dxa"/>
            <w:tcBorders/>
            <w:vAlign w:val="center"/>
          </w:tcPr>
          <w:p>
            <w:pPr>
              <w:pStyle w:val="TableContents"/>
              <w:bidi w:val="0"/>
              <w:spacing w:before="0" w:after="283"/>
              <w:jc w:val="left"/>
              <w:rPr/>
            </w:pPr>
            <w:r>
              <w:rPr/>
              <w:t>Item 6.</w:t>
            </w:r>
          </w:p>
        </w:tc>
        <w:tc>
          <w:tcPr>
            <w:tcW w:w="9039"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Not applicable</w:t>
            </w:r>
          </w:p>
        </w:tc>
      </w:tr>
      <w:tr>
        <w:trPr/>
        <w:tc>
          <w:tcPr>
            <w:tcW w:w="1166" w:type="dxa"/>
            <w:tcBorders/>
            <w:vAlign w:val="center"/>
          </w:tcPr>
          <w:p>
            <w:pPr>
              <w:pStyle w:val="TableContents"/>
              <w:bidi w:val="0"/>
              <w:spacing w:before="0" w:after="283"/>
              <w:jc w:val="left"/>
              <w:rPr/>
            </w:pPr>
            <w:r>
              <w:rPr/>
              <w:t>Item 7.</w:t>
            </w:r>
          </w:p>
        </w:tc>
        <w:tc>
          <w:tcPr>
            <w:tcW w:w="9039" w:type="dxa"/>
            <w:tcBorders/>
            <w:vAlign w:val="center"/>
          </w:tcPr>
          <w:p>
            <w:pPr>
              <w:pStyle w:val="TableContents"/>
              <w:bidi w:val="0"/>
              <w:spacing w:before="0" w:after="283"/>
              <w:jc w:val="left"/>
              <w:rPr/>
            </w:pPr>
            <w:r>
              <w:rPr/>
              <w:t>Material to be Filed as Exhibits.</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1 - Transactions in Ordinary Shares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62" w:type="dxa"/>
        <w:jc w:val="left"/>
        <w:tblInd w:w="0" w:type="dxa"/>
        <w:tblLayout w:type="fixed"/>
        <w:tblCellMar>
          <w:top w:w="28" w:type="dxa"/>
          <w:left w:w="28" w:type="dxa"/>
          <w:bottom w:w="28" w:type="dxa"/>
          <w:right w:w="28" w:type="dxa"/>
        </w:tblCellMar>
      </w:tblPr>
      <w:tblGrid>
        <w:gridCol w:w="2081"/>
        <w:gridCol w:w="2081"/>
      </w:tblGrid>
      <w:tr>
        <w:trPr/>
        <w:tc>
          <w:tcPr>
            <w:tcW w:w="2081" w:type="dxa"/>
            <w:tcBorders/>
            <w:vAlign w:val="center"/>
          </w:tcPr>
          <w:p>
            <w:pPr>
              <w:pStyle w:val="TableContents"/>
              <w:bidi w:val="0"/>
              <w:spacing w:before="0" w:after="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0"/>
                    <w:jc w:val="left"/>
                    <w:rPr/>
                  </w:pPr>
                  <w:r>
                    <w:rPr/>
                    <w:t>QVT Financial LP</w:t>
                  </w:r>
                </w:p>
              </w:tc>
            </w:tr>
          </w:tbl>
          <w:p>
            <w:pPr>
              <w:pStyle w:val="TableContents"/>
              <w:bidi w:val="0"/>
              <w:spacing w:before="0" w:after="283"/>
              <w:jc w:val="left"/>
              <w:rPr/>
            </w:pPr>
            <w:r>
              <w:rPr/>
            </w:r>
          </w:p>
        </w:tc>
        <w:tc>
          <w:tcPr>
            <w:tcW w:w="20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Meg Eisner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1213</Words>
  <Characters>6428</Characters>
  <CharactersWithSpaces>7576</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