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001-33129</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ALLOT LTD.</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22 Hanagar Street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Neve Ne'eman Industrial Zone B</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Hod-Hasharon 45240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34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w:t>
      </w:r>
    </w:p>
    <w:p>
      <w:pPr>
        <w:spacing w:after="0" w:line="239"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22" w:lineRule="exact"/>
        <w:rPr>
          <w:sz w:val="24"/>
          <w:szCs w:val="24"/>
          <w:color w:val="auto"/>
        </w:rPr>
      </w:pPr>
    </w:p>
    <w:p>
      <w:pPr>
        <w:ind w:left="490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2026, Allot Ltd. issued a press release announcing the First Quarter 2026 Financial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entitled “Allot Announces First Quarter 2026 Financial Results” is attached to this Form 6-K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980" w:top="347" w:right="10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Allot Ltd.</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Liat Nahum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Liat Nahum</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563"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 has been filed as part of this Form 6-K:</w:t>
            </w:r>
          </w:p>
        </w:tc>
      </w:tr>
      <w:tr>
        <w:trPr>
          <w:trHeight w:val="405"/>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40" w:type="dxa"/>
            <w:vAlign w:val="bottom"/>
            <w:gridSpan w:val="2"/>
          </w:tcPr>
          <w:p>
            <w:pPr>
              <w:spacing w:after="0"/>
              <w:rPr>
                <w:sz w:val="24"/>
                <w:szCs w:val="24"/>
                <w:color w:val="auto"/>
              </w:rPr>
            </w:pPr>
          </w:p>
        </w:tc>
      </w:tr>
      <w:tr>
        <w:trPr>
          <w:trHeight w:val="41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78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Allot Announces First Quarter 2026 Financial Results</w:t>
            </w:r>
          </w:p>
        </w:tc>
      </w:tr>
      <w:tr>
        <w:trPr>
          <w:trHeight w:val="351"/>
        </w:trPr>
        <w:tc>
          <w:tcPr>
            <w:tcW w:w="32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040" w:type="dxa"/>
            <w:vAlign w:val="bottom"/>
            <w:tcBorders>
              <w:top w:val="single" w:sz="8" w:color="0000EE"/>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165735</wp:posOffset>
            </wp:positionV>
            <wp:extent cx="107124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Allot First Quarter 2026 Results: Revenue Growth</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Accelerates to 14% YoY with Increased Margins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Recurring Revenue Reaches 67% of Total Revenue</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Hod Hasharon, Israel – May 12,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Allot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ALLT, TASE: ALLT), a leading global provider of innovative Security-as-a-Service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(SECaaS) and network intelligence solutions for communications service providers and enterprises, today announced its unaudited financial results for the first quarter of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First Quarter of 2026</w:t>
      </w:r>
    </w:p>
    <w:p>
      <w:pPr>
        <w:spacing w:after="0" w:line="24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$26.4 million, up 14%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as a Service (SECaaS) revenues of $8.7 million, increasing 71%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2026 SECaaS ARR* of $33.7 million, up 59%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of $1.5 million, compared with an operating loss of $0.7 million in the first quarter of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$2.6 million, compared with $0.4 million in the first quarter of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operating cash flow of $10.6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Eyal Harari, CEO of Allot, commented</w:t>
      </w:r>
      <w:r>
        <w:rPr>
          <w:rFonts w:ascii="Times New Roman" w:cs="Times New Roman" w:eastAsia="Times New Roman" w:hAnsi="Times New Roman"/>
          <w:sz w:val="18"/>
          <w:szCs w:val="18"/>
          <w:color w:val="auto"/>
        </w:rPr>
        <w:t>, “We are pleased to report a strong start to 2026, with revenues increasing 14% year-over-year, marking our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consecutive quarter of double-digit revenue growth. Our success was driven by a robust expansion in our cybersecurity business, resulting in meaningful improvements in margins and profit, as well as record operating cash flow.”</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Mr. Harari continued, </w:t>
      </w:r>
      <w:r>
        <w:rPr>
          <w:rFonts w:ascii="Times New Roman" w:cs="Times New Roman" w:eastAsia="Times New Roman" w:hAnsi="Times New Roman"/>
          <w:sz w:val="18"/>
          <w:szCs w:val="18"/>
          <w:color w:val="auto"/>
        </w:rPr>
        <w:t>“Our cybersecurity segment remains the primary engine of growth and drove Recurring Revenues** to over 67% of total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quarter. Strong organic growth in SECaaS revenues and ARR reflects increasing adoption of telco-provided cybersecurity services powered by Allot and provides us with strong visibility into continued double-digit growth for the full year.”</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Concluded Mr. Harari, </w:t>
      </w:r>
      <w:r>
        <w:rPr>
          <w:rFonts w:ascii="Times New Roman" w:cs="Times New Roman" w:eastAsia="Times New Roman" w:hAnsi="Times New Roman"/>
          <w:sz w:val="18"/>
          <w:szCs w:val="18"/>
          <w:color w:val="auto"/>
        </w:rPr>
        <w:t>“Looking ahead, we reaffirm our 2026 revenue guidance of $113 million to $117 million, with continued profitability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throughout the year. Following a strong first quarter we feel increasingly confident toward the upper end of that range and furthermore, we now have the strong visibility ahead to predict 40% or more SECaaS revenue growth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 Summary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for the first quarter of 2026 were $26.4 million, a 14% increase year-over-year compared with $23.2 million in the first quarter of 2025.</w:t>
      </w:r>
    </w:p>
    <w:p>
      <w:pPr>
        <w:spacing w:after="0" w:line="23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Gross profit on a GAAP basis </w:t>
      </w:r>
      <w:r>
        <w:rPr>
          <w:rFonts w:ascii="Times New Roman" w:cs="Times New Roman" w:eastAsia="Times New Roman" w:hAnsi="Times New Roman"/>
          <w:sz w:val="18"/>
          <w:szCs w:val="18"/>
          <w:color w:val="auto"/>
        </w:rPr>
        <w:t>for the first quarter of 2026 was $18.7 million (gross margin of 70.9%), a 17% increase compared with $16.0 million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of 69.3%) in the first quarter of 2025.</w:t>
      </w:r>
    </w:p>
    <w:p>
      <w:pPr>
        <w:spacing w:after="0" w:line="15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Gross profit on a non-GAAP basis </w:t>
      </w:r>
      <w:r>
        <w:rPr>
          <w:rFonts w:ascii="Times New Roman" w:cs="Times New Roman" w:eastAsia="Times New Roman" w:hAnsi="Times New Roman"/>
          <w:sz w:val="18"/>
          <w:szCs w:val="18"/>
          <w:color w:val="auto"/>
        </w:rPr>
        <w:t>for the first quarter of 2026 was $18.8 million (gross margin of 71.3%), a 16% increase compared with $16.3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of 70.4%) in the first quarter of 2025.</w:t>
      </w:r>
    </w:p>
    <w:p>
      <w:pPr>
        <w:spacing w:after="0" w:line="15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Operating income on a GAAP basis </w:t>
      </w:r>
      <w:r>
        <w:rPr>
          <w:rFonts w:ascii="Times New Roman" w:cs="Times New Roman" w:eastAsia="Times New Roman" w:hAnsi="Times New Roman"/>
          <w:sz w:val="18"/>
          <w:szCs w:val="18"/>
          <w:color w:val="auto"/>
        </w:rPr>
        <w:t>for the first quarter of 2026 was $1.5 million (operating margin of 5.8%), compared with an operating loss of $0.7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first quarter of 2025.</w:t>
      </w:r>
    </w:p>
    <w:p>
      <w:pPr>
        <w:spacing w:after="0" w:line="15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Operating income on a non-GAAP basis </w:t>
      </w:r>
      <w:r>
        <w:rPr>
          <w:rFonts w:ascii="Times New Roman" w:cs="Times New Roman" w:eastAsia="Times New Roman" w:hAnsi="Times New Roman"/>
          <w:sz w:val="18"/>
          <w:szCs w:val="18"/>
          <w:color w:val="auto"/>
        </w:rPr>
        <w:t>for the first quarter of 2026 was $2.6 million (operating margin of 9.9%), compared with $0.4 million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of 1.8%) in the first quarter of 2025.</w:t>
      </w:r>
    </w:p>
    <w:p>
      <w:pPr>
        <w:spacing w:after="0" w:line="15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Net income on a GAAP basis </w:t>
      </w:r>
      <w:r>
        <w:rPr>
          <w:rFonts w:ascii="Times New Roman" w:cs="Times New Roman" w:eastAsia="Times New Roman" w:hAnsi="Times New Roman"/>
          <w:sz w:val="18"/>
          <w:szCs w:val="18"/>
          <w:color w:val="auto"/>
        </w:rPr>
        <w:t>for the first quarter of 2026 was $1.9 million, or $0.04 per diluted share, compared with a net loss of $0.3 million, or $0.01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per basic share, in the first quarter of 2025.</w:t>
      </w:r>
    </w:p>
    <w:p>
      <w:pPr>
        <w:spacing w:after="0" w:line="15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Net income on a non-GAAP basis </w:t>
      </w:r>
      <w:r>
        <w:rPr>
          <w:rFonts w:ascii="Times New Roman" w:cs="Times New Roman" w:eastAsia="Times New Roman" w:hAnsi="Times New Roman"/>
          <w:sz w:val="18"/>
          <w:szCs w:val="18"/>
          <w:color w:val="auto"/>
        </w:rPr>
        <w:t>for the first quarter of 2026 was $3.1 million, or $0.06 income per diluted share, compared with $0.8 million, or $0.02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diluted share, in the first quarter of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cash flow </w:t>
      </w:r>
      <w:r>
        <w:rPr>
          <w:rFonts w:ascii="Times New Roman" w:cs="Times New Roman" w:eastAsia="Times New Roman" w:hAnsi="Times New Roman"/>
          <w:sz w:val="18"/>
          <w:szCs w:val="18"/>
          <w:color w:val="auto"/>
        </w:rPr>
        <w:t>generated in the quarter was $10.6 million compared with $1.7 million in the first quarter of 2025.</w:t>
      </w:r>
    </w:p>
    <w:p>
      <w:pPr>
        <w:spacing w:after="0" w:line="23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bank deposits, restricted deposits and investments </w:t>
      </w:r>
      <w:r>
        <w:rPr>
          <w:rFonts w:ascii="Times New Roman" w:cs="Times New Roman" w:eastAsia="Times New Roman" w:hAnsi="Times New Roman"/>
          <w:sz w:val="18"/>
          <w:szCs w:val="18"/>
          <w:color w:val="auto"/>
        </w:rPr>
        <w:t>as of March 31, 2026, totaled $98 million, compared with $88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&amp; Webcast</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The Allot management team will host a conference call to discuss its first quarter 2026 earnings results today, May 12, 2026 at 8:00 am ET, 3:00 pm Israel time. To access the conference call, please dial one of the following numbers: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1-888-668-9141, UK: 0-800-917-5108, Israel: +972-3-918-0699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webcast and, following the end of the call, an archive of the conference call, will be accessible on the Allot website at: </w:t>
      </w:r>
      <w:r>
        <w:rPr>
          <w:rFonts w:ascii="Times New Roman" w:cs="Times New Roman" w:eastAsia="Times New Roman" w:hAnsi="Times New Roman"/>
          <w:sz w:val="18"/>
          <w:szCs w:val="18"/>
          <w:u w:val="single" w:color="auto"/>
          <w:color w:val="auto"/>
        </w:rPr>
        <w:t>https://investors.allot.com/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Allot</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Allot Ltd. (NASDAQ: ALLT, TASE: ALLT) is a leading provider of innovative converged cybersecurity solutions and network intelligence offerings for service providers and enterprises worldwide. Allot enhances value to its customers’ customers through its solutions, which are deployed globally for network-native cybersecurity services, network and application analytics, traffic control and shaping, and more. Allot’s multi-service platforms are deployed by over 500 mobile, fixed and cloud service providers and over 1000 enterprises. Our industry-leading network-native security-as-a-service solution is already used by many millions of subscribers globally.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www.allot.com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Metrics</w:t>
      </w:r>
    </w:p>
    <w:p>
      <w:pPr>
        <w:spacing w:after="0" w:line="256" w:lineRule="exact"/>
        <w:rPr>
          <w:sz w:val="20"/>
          <w:szCs w:val="20"/>
          <w:color w:val="auto"/>
        </w:rPr>
      </w:pPr>
    </w:p>
    <w:p>
      <w:pPr>
        <w:ind w:firstLine="8"/>
        <w:spacing w:after="0" w:line="282" w:lineRule="auto"/>
        <w:tabs>
          <w:tab w:leader="none" w:pos="1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SECaaS ARR – measures the current annual recurring SECaaS revenues, which is calculated based on estimated revenues for the month of March 2026 and multiplied by 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Recuring Revenues - measures the current recurring support &amp; maintenance revenues, plus the current SECaaS recuring revenues.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GAAP to Non-GAAP Reconciliation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Company presents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that adjust GAAP results to exclude items that management considers not reflective of the Company’s ongoing operational performance. Non-GAAP gross profit is defined as GAAP gross profit excluding share-based compensation expenses, amortization of intangible assets and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Non-GAAP operating income is defined as GAAP net operating excluding primarily share-based compensation expenses, amortization of intangible assets and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Non-GAAP net income is defined as GAAP net income excluding primarily share-based compensation expenses, amortization of intangible assets,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expenses, financial income or expenses related to exchange rate differences and changes in tax-related items.</w:t>
      </w:r>
    </w:p>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These non-GAAP measures should be considered in addition to, and not as a substitute for, comparable GAAP measures. The non-GAAP results and a full reconciliation between GAAP and non-GAAP results are presented below. The Company provides these non-GAAP financial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Private Securities Litigation Reform Act of 1995. All statements contained in this release that do not relate to matters of historical fact should be considered forward-looking statements, including, without limitation, statements regarding our expected financial performance and operational performance including, revenue, recurring revenue, SECaaS revenues and profitability growth, as well as statements that include the words “expect,” “intend,” “plan,” “believe,” “project,” “forecast,” “estimate,” “may,” “should,” “anticipate” and similar statements of a future or forward-looking nature. These forward-looking statements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accounts receivables, including our ability to collect outstanding accounts and assess their collectability on a quarterly basis; our ability to meet expectations with respect to our financial guidance and outlook;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third party channel partners for a material portion of our revenues; and other factors discussed under the heading "Risk Factors" in the Company's annual report on Form 20-F for the fiscal year 2025, filed with the Securities and Exchange Commission as such factors may be updated from time to time in our other filings with the SEC, which are accessible on the SEC’s website at www.sec.gov. Accordingly, you should not rely upon forward-looking statements as predictions of future events. Additionally, the forward-looking statements are made only as of the date hereof, and the company undertakes no obligation to update or revise the forward-looking statements, whether as a result of new information, future events or otherwise.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736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Public Relations Contact:</w:t>
            </w:r>
          </w:p>
        </w:tc>
      </w:tr>
      <w:tr>
        <w:trPr>
          <w:trHeight w:val="22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EK Global Investor Relations</w:t>
            </w:r>
          </w:p>
        </w:tc>
        <w:tc>
          <w:tcPr>
            <w:tcW w:w="73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Seth Greenberg, Allot Ltd.</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Ehud Helft</w:t>
            </w:r>
          </w:p>
        </w:tc>
        <w:tc>
          <w:tcPr>
            <w:tcW w:w="33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+972 54 922 2294</w:t>
            </w:r>
          </w:p>
        </w:tc>
        <w:tc>
          <w:tcPr>
            <w:tcW w:w="4000" w:type="dxa"/>
            <w:vAlign w:val="bottom"/>
          </w:tcPr>
          <w:p>
            <w:pPr>
              <w:spacing w:after="0"/>
              <w:rPr>
                <w:sz w:val="18"/>
                <w:szCs w:val="18"/>
                <w:color w:val="auto"/>
              </w:rPr>
            </w:pPr>
          </w:p>
        </w:tc>
      </w:tr>
      <w:tr>
        <w:trPr>
          <w:trHeight w:val="194"/>
        </w:trPr>
        <w:tc>
          <w:tcPr>
            <w:tcW w:w="3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+1 212 378 8040</w:t>
            </w:r>
          </w:p>
        </w:tc>
        <w:tc>
          <w:tcPr>
            <w:tcW w:w="7360" w:type="dxa"/>
            <w:vAlign w:val="bottom"/>
            <w:gridSpan w:val="3"/>
          </w:tcPr>
          <w:p>
            <w:pPr>
              <w:ind w:left="1740"/>
              <w:spacing w:after="0" w:line="194" w:lineRule="exact"/>
              <w:rPr>
                <w:sz w:val="20"/>
                <w:szCs w:val="20"/>
                <w:color w:val="auto"/>
              </w:rPr>
            </w:pPr>
            <w:r>
              <w:rPr>
                <w:rFonts w:ascii="Times New Roman" w:cs="Times New Roman" w:eastAsia="Times New Roman" w:hAnsi="Times New Roman"/>
                <w:sz w:val="18"/>
                <w:szCs w:val="18"/>
                <w:color w:val="auto"/>
              </w:rPr>
              <w:t>sgreenberg@allot.com</w:t>
            </w:r>
          </w:p>
        </w:tc>
      </w:tr>
      <w:tr>
        <w:trPr>
          <w:trHeight w:val="20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allot@ekgir.com</w:t>
            </w:r>
          </w:p>
        </w:tc>
        <w:tc>
          <w:tcPr>
            <w:tcW w:w="17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000" w:type="dxa"/>
            <w:vAlign w:val="bottom"/>
          </w:tcPr>
          <w:p>
            <w:pPr>
              <w:spacing w:after="0"/>
              <w:rPr>
                <w:sz w:val="18"/>
                <w:szCs w:val="18"/>
                <w:color w:val="auto"/>
              </w:rPr>
            </w:pPr>
          </w:p>
        </w:tc>
      </w:tr>
      <w:tr>
        <w:trPr>
          <w:trHeight w:val="433"/>
        </w:trPr>
        <w:tc>
          <w:tcPr>
            <w:tcW w:w="1200" w:type="dxa"/>
            <w:vAlign w:val="bottom"/>
            <w:tcBorders>
              <w:top w:val="single" w:sz="8" w:color="auto"/>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ALLOT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ITS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17,107</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deposit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3,573</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48,663</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receivables, net (net of allowance for credit losses of $9,388 and $9,611 on March 31, 2026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 respectively)</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9,906</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124,980</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 fund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deposit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31,833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188,667</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172,699</w:t>
            </w: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47,159</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5,392</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172,699</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8"/>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ALLOT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ITS SUBSIDIARIES</w:t>
      </w:r>
    </w:p>
    <w:p>
      <w:pPr>
        <w:spacing w:after="0" w:line="2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per share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48,777,078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39,620,521</w:t>
            </w: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49,893,370</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39,620,521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98"/>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ALLOT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ITS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1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6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spacing w:after="0"/>
              <w:rPr>
                <w:sz w:val="18"/>
                <w:szCs w:val="18"/>
                <w:color w:val="auto"/>
              </w:rPr>
            </w:pPr>
          </w:p>
        </w:tc>
      </w:tr>
      <w:tr>
        <w:trPr>
          <w:trHeight w:val="229"/>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176"/>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14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6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(Gain) of foreign exchange on cash and cash equivalents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30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Changes in operating assets and liabilities:</w:t>
            </w:r>
          </w:p>
        </w:tc>
        <w:tc>
          <w:tcPr>
            <w:tcW w:w="56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Decrease in accrued severance pay, net</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other assets, other receivables and prepaid expenses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r>
      <w:tr>
        <w:trPr>
          <w:trHeight w:val="230"/>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accrued interest and amortization of premium on available-for sale marketable securities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operating leases liability</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Decrease in operating lease right-of-use asset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(2,576)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payables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Decrease in employees and payroll accruals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(2,212)</w:t>
            </w:r>
          </w:p>
        </w:tc>
      </w:tr>
      <w:tr>
        <w:trPr>
          <w:trHeight w:val="23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14,968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r>
      <w:tr>
        <w:trPr>
          <w:trHeight w:val="236"/>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Decrease in other payables and accrued expenses</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10,575</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14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Decrease in restricted deposit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bank deposits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(8,700)</w:t>
            </w:r>
          </w:p>
        </w:tc>
      </w:tr>
      <w:tr>
        <w:trPr>
          <w:trHeight w:val="230"/>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Withdrawal of short-term bank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r>
      <w:tr>
        <w:trPr>
          <w:trHeight w:val="23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(29,965)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(28,976)</w:t>
            </w:r>
          </w:p>
        </w:tc>
      </w:tr>
      <w:tr>
        <w:trPr>
          <w:trHeight w:val="237"/>
        </w:trPr>
        <w:tc>
          <w:tcPr>
            <w:tcW w:w="86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redemption or sale of marketable securities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37"/>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(8,004)</w:t>
            </w:r>
          </w:p>
        </w:tc>
      </w:tr>
      <w:tr>
        <w:trPr>
          <w:trHeight w:val="216"/>
        </w:trPr>
        <w:tc>
          <w:tcPr>
            <w:tcW w:w="1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0"/>
        </w:trPr>
        <w:tc>
          <w:tcPr>
            <w:tcW w:w="86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spacing w:after="0"/>
              <w:rPr>
                <w:sz w:val="18"/>
                <w:szCs w:val="18"/>
                <w:color w:val="auto"/>
              </w:rPr>
            </w:pPr>
          </w:p>
        </w:tc>
      </w:tr>
      <w:tr>
        <w:trPr>
          <w:trHeight w:val="237"/>
        </w:trPr>
        <w:tc>
          <w:tcPr>
            <w:tcW w:w="86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r>
      <w:tr>
        <w:trPr>
          <w:trHeight w:val="216"/>
        </w:trPr>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30"/>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9"/>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(3,991)</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(6,081)</w:t>
            </w:r>
          </w:p>
        </w:tc>
      </w:tr>
      <w:tr>
        <w:trPr>
          <w:trHeight w:val="237"/>
        </w:trPr>
        <w:tc>
          <w:tcPr>
            <w:tcW w:w="86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at the beginning of the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70"/>
        </w:trPr>
        <w:tc>
          <w:tcPr>
            <w:tcW w:w="8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at the end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10,061</w:t>
            </w:r>
          </w:p>
        </w:tc>
      </w:tr>
      <w:tr>
        <w:trPr>
          <w:trHeight w:val="210"/>
        </w:trPr>
        <w:tc>
          <w:tcPr>
            <w:tcW w:w="1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86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Non-cash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4"/>
        </w:trPr>
        <w:tc>
          <w:tcPr>
            <w:tcW w:w="1440" w:type="dxa"/>
            <w:vAlign w:val="bottom"/>
            <w:tcBorders>
              <w:top w:val="single" w:sz="8" w:color="auto"/>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4"/>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ROU asset and lease liability decrease, due to lease termination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394"/>
        </w:trPr>
        <w:tc>
          <w:tcPr>
            <w:tcW w:w="1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ALLOT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ITS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9"/>
        </w:trPr>
        <w:tc>
          <w:tcPr>
            <w:tcW w:w="86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cost of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7,103</w:t>
            </w:r>
          </w:p>
        </w:tc>
      </w:tr>
      <w:tr>
        <w:trPr>
          <w:trHeight w:val="229"/>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3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2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Borders>
              <w:top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16,047</w:t>
            </w:r>
          </w:p>
        </w:tc>
      </w:tr>
      <w:tr>
        <w:trPr>
          <w:trHeight w:val="229"/>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37"/>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GAAP operating expenses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16,756</w:t>
            </w:r>
          </w:p>
        </w:tc>
      </w:tr>
      <w:tr>
        <w:trPr>
          <w:trHeight w:val="229"/>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 Research and development costs, net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 Sales and marketing</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 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37"/>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GAAP operating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36"/>
        </w:trPr>
        <w:tc>
          <w:tcPr>
            <w:tcW w:w="8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tax related items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Non-GAAP income (loss) per share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48,777,078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39,620,521</w:t>
            </w: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50,966,541</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42,880,655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ind w:right="500" w:firstLine="8"/>
        <w:spacing w:after="0" w:line="297"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income or expenses related to exchange rate differences in connection with revaluation of assets and liabilities in non-dollar denominated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79310" cy="2755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2755900"/>
                    </a:xfrm>
                    <a:prstGeom prst="rect">
                      <a:avLst/>
                    </a:prstGeom>
                    <a:noFill/>
                  </pic:spPr>
                </pic:pic>
              </a:graphicData>
            </a:graphic>
          </wp:anchor>
        </w:drawing>
        <w:t>Other financial metrics (Unaudited)</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U.S. dollars in millions, except top 10 customers as a % of revenues and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Q1-26</w:t>
            </w:r>
          </w:p>
        </w:tc>
        <w:tc>
          <w:tcPr>
            <w:tcW w:w="6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5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6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 geographic breakdown</w:t>
            </w:r>
          </w:p>
        </w:tc>
        <w:tc>
          <w:tcPr>
            <w:tcW w:w="5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5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63.7</w:t>
            </w: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54.0</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5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4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 breakdown by type</w:t>
            </w:r>
          </w:p>
        </w:tc>
        <w:tc>
          <w:tcPr>
            <w:tcW w:w="840" w:type="dxa"/>
            <w:vAlign w:val="bottom"/>
            <w:tcBorders>
              <w:bottom w:val="single" w:sz="8" w:color="CCEEFF"/>
            </w:tcBorders>
            <w:gridSpan w:val="2"/>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SECaaS (Security as a Service)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5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&amp; Professional Services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39.3</w:t>
            </w: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Support &amp; Maintenance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w:t>
            </w:r>
          </w:p>
        </w:tc>
        <w:tc>
          <w:tcPr>
            <w:tcW w:w="4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10 customers as a % of revenues</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9310" cy="2266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2266950"/>
                    </a:xfrm>
                    <a:prstGeom prst="rect">
                      <a:avLst/>
                    </a:prstGeom>
                    <a:noFill/>
                  </pic:spPr>
                </pic:pic>
              </a:graphicData>
            </a:graphic>
          </wp:anchor>
        </w:drawing>
      </w:r>
    </w:p>
    <w:p>
      <w:pPr>
        <w:spacing w:after="0" w:line="3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SECaaS (Security as a Service) revenues</w:t>
      </w:r>
      <w:r>
        <w:rPr>
          <w:rFonts w:ascii="Times New Roman" w:cs="Times New Roman" w:eastAsia="Times New Roman" w:hAnsi="Times New Roman"/>
          <w:sz w:val="18"/>
          <w:szCs w:val="18"/>
          <w:u w:val="single" w:color="auto"/>
          <w:color w:val="auto"/>
        </w:rPr>
        <w:t>- U.S. dollars in millions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20"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Q1-2026</w:t>
      </w:r>
      <w:r>
        <w:rPr>
          <w:sz w:val="20"/>
          <w:szCs w:val="20"/>
          <w:color w:val="auto"/>
        </w:rPr>
        <w:tab/>
      </w:r>
      <w:r>
        <w:rPr>
          <w:rFonts w:ascii="Times New Roman" w:cs="Times New Roman" w:eastAsia="Times New Roman" w:hAnsi="Times New Roman"/>
          <w:sz w:val="17"/>
          <w:szCs w:val="17"/>
          <w:color w:val="auto"/>
        </w:rPr>
        <w:t>8.7</w:t>
      </w:r>
    </w:p>
    <w:p>
      <w:pPr>
        <w:spacing w:after="0" w:line="27"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Q4-2025:</w:t>
      </w:r>
      <w:r>
        <w:rPr>
          <w:sz w:val="20"/>
          <w:szCs w:val="20"/>
          <w:color w:val="auto"/>
        </w:rPr>
        <w:tab/>
      </w:r>
      <w:r>
        <w:rPr>
          <w:rFonts w:ascii="Times New Roman" w:cs="Times New Roman" w:eastAsia="Times New Roman" w:hAnsi="Times New Roman"/>
          <w:sz w:val="17"/>
          <w:szCs w:val="17"/>
          <w:color w:val="auto"/>
        </w:rPr>
        <w:t>8.1</w:t>
      </w:r>
    </w:p>
    <w:p>
      <w:pPr>
        <w:spacing w:after="0" w:line="23"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Q3-2025:</w:t>
      </w:r>
      <w:r>
        <w:rPr>
          <w:sz w:val="20"/>
          <w:szCs w:val="20"/>
          <w:color w:val="auto"/>
        </w:rPr>
        <w:tab/>
      </w:r>
      <w:r>
        <w:rPr>
          <w:rFonts w:ascii="Times New Roman" w:cs="Times New Roman" w:eastAsia="Times New Roman" w:hAnsi="Times New Roman"/>
          <w:sz w:val="17"/>
          <w:szCs w:val="17"/>
          <w:color w:val="auto"/>
        </w:rPr>
        <w:t>7.3</w:t>
      </w:r>
    </w:p>
    <w:p>
      <w:pPr>
        <w:spacing w:after="0" w:line="23"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Q2-2025:</w:t>
      </w:r>
      <w:r>
        <w:rPr>
          <w:sz w:val="20"/>
          <w:szCs w:val="20"/>
          <w:color w:val="auto"/>
        </w:rPr>
        <w:tab/>
      </w:r>
      <w:r>
        <w:rPr>
          <w:rFonts w:ascii="Times New Roman" w:cs="Times New Roman" w:eastAsia="Times New Roman" w:hAnsi="Times New Roman"/>
          <w:sz w:val="17"/>
          <w:szCs w:val="17"/>
          <w:color w:val="auto"/>
        </w:rPr>
        <w:t>6.4</w:t>
      </w:r>
    </w:p>
    <w:p>
      <w:pPr>
        <w:spacing w:after="0" w:line="23"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color w:val="auto"/>
        </w:rPr>
        <w:t>Q1-2025:</w:t>
      </w:r>
      <w:r>
        <w:rPr>
          <w:sz w:val="20"/>
          <w:szCs w:val="20"/>
          <w:color w:val="auto"/>
        </w:rPr>
        <w:tab/>
      </w:r>
      <w:r>
        <w:rPr>
          <w:rFonts w:ascii="Times New Roman" w:cs="Times New Roman" w:eastAsia="Times New Roman" w:hAnsi="Times New Roman"/>
          <w:sz w:val="17"/>
          <w:szCs w:val="17"/>
          <w:color w:val="auto"/>
        </w:rPr>
        <w:t>5.1</w:t>
      </w: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SECaaS ARR* </w:t>
      </w:r>
      <w:r>
        <w:rPr>
          <w:rFonts w:ascii="Times New Roman" w:cs="Times New Roman" w:eastAsia="Times New Roman" w:hAnsi="Times New Roman"/>
          <w:sz w:val="18"/>
          <w:szCs w:val="18"/>
          <w:u w:val="single" w:color="auto"/>
          <w:color w:val="auto"/>
        </w:rPr>
        <w:t>- U.S. dollars in millions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 2026:</w:t>
            </w:r>
          </w:p>
        </w:tc>
        <w:tc>
          <w:tcPr>
            <w:tcW w:w="9960" w:type="dxa"/>
            <w:vAlign w:val="bottom"/>
            <w:shd w:val="clear" w:color="auto" w:fill="CCEEFF"/>
          </w:tcPr>
          <w:p>
            <w:pPr>
              <w:jc w:val="right"/>
              <w:ind w:right="919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Dec. 2025:</w:t>
            </w:r>
          </w:p>
        </w:tc>
        <w:tc>
          <w:tcPr>
            <w:tcW w:w="9960" w:type="dxa"/>
            <w:vAlign w:val="bottom"/>
          </w:tcPr>
          <w:p>
            <w:pPr>
              <w:jc w:val="right"/>
              <w:ind w:right="9190"/>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 2024:</w:t>
            </w:r>
          </w:p>
        </w:tc>
        <w:tc>
          <w:tcPr>
            <w:tcW w:w="9960" w:type="dxa"/>
            <w:vAlign w:val="bottom"/>
            <w:shd w:val="clear" w:color="auto" w:fill="CCEEFF"/>
          </w:tcPr>
          <w:p>
            <w:pPr>
              <w:jc w:val="right"/>
              <w:ind w:right="919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r>
      <w:tr>
        <w:trPr>
          <w:trHeight w:val="234"/>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Dec. 2023:</w:t>
            </w:r>
          </w:p>
        </w:tc>
        <w:tc>
          <w:tcPr>
            <w:tcW w:w="9960" w:type="dxa"/>
            <w:vAlign w:val="bottom"/>
          </w:tcPr>
          <w:p>
            <w:pPr>
              <w:jc w:val="right"/>
              <w:ind w:right="919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r>
      <w:tr>
        <w:trPr>
          <w:trHeight w:val="400"/>
        </w:trPr>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2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2026-05-12T05:23:45Z</dcterms:created>
  <dcterms:modified xsi:type="dcterms:W3CDTF">2026-05-12T05:23:45Z</dcterms:modified>
</cp:coreProperties>
</file>