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070.htm"/>
      <w:bookmarkStart w:id="1" w:name="kszk2636070"/>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REPORT OF FOREIGN PRIVATE ISSUER</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PURSUANT TO RULE 13A-16 OR 15D-16</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Commission File Number 001-33129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rPr>
        <w:t>Allot Ltd.</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22 Hanagar Street</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Neve Ne’eman Industrial Zone B</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Hod-Hasharon 45240</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Israel</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Report of Foreign Private Issuer on Form 6-K (this “</w:t>
      </w:r>
      <w:r>
        <w:rPr>
          <w:rStyle w:val="StrongEmphasis"/>
          <w:rFonts w:ascii="Times New Roman;Times;Serif" w:hAnsi="Times New Roman;Times;Serif"/>
          <w:b w:val="false"/>
          <w:i w:val="false"/>
          <w:caps w:val="false"/>
          <w:smallCaps w:val="false"/>
          <w:sz w:val="20"/>
        </w:rPr>
        <w:t>Form 6-K</w:t>
      </w:r>
      <w:r>
        <w:rPr>
          <w:rFonts w:ascii="Times New Roman;Times;Serif" w:hAnsi="Times New Roman;Times;Serif"/>
          <w:b w:val="false"/>
          <w:i w:val="false"/>
          <w:caps w:val="false"/>
          <w:smallCaps w:val="false"/>
          <w:sz w:val="20"/>
        </w:rPr>
        <w:t>”) filed by Allot Ltd. (the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consists of the Company’s: (i) condensed consolidated financial statements for the six months ended June 30, 2026, which are attached hereto as Exhibit 99.1 and are incorporated by reference herein; and (ii) management's discussion and analysis of financial condition and results of operations for the six months ended June 30, 2026, which is attached hereto as Exhibit 99.2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Form 6-K, including its exhibits, is incorporated by reference into the Company’s registration statements on Form F-3 (File Nos. 333-264202 and 333-286174) filed with the U.S. Securities and Exchange Commission (the “</w:t>
      </w:r>
      <w:r>
        <w:rPr>
          <w:rStyle w:val="StrongEmphasis"/>
          <w:rFonts w:ascii="Times New Roman;Times;Serif" w:hAnsi="Times New Roman;Times;Serif"/>
          <w:b w:val="false"/>
          <w:i w:val="false"/>
          <w:caps w:val="false"/>
          <w:smallCaps w:val="false"/>
          <w:sz w:val="20"/>
        </w:rPr>
        <w:t>SEC</w:t>
      </w:r>
      <w:r>
        <w:rPr>
          <w:rFonts w:ascii="Times New Roman;Times;Serif" w:hAnsi="Times New Roman;Times;Serif"/>
          <w:b w:val="false"/>
          <w:i w:val="false"/>
          <w:caps w:val="false"/>
          <w:smallCaps w:val="false"/>
          <w:sz w:val="20"/>
        </w:rPr>
        <w:t>”) on April 8, 2022 and March 27, 2025, respectively, and Form S-8 (File Nos. 333-140701, 333-149237, 333-159306, 333-165144, 333-172492, 333-180770, 333-187406, 333-194833, 333-203028, 333-210420, 333-216893, 333-223838, 333-230391, 333-237405, 333-254298, 333-263767, 333-270903, 333-278607, 333-285268 and 333-294623) filed with the SEC on February 14, 2007, February 14, 2008, May 18, 2009, March 2, 2010, February 28, 2011, April 17, 2012, March 21, 2013, March 27, 2014, March 26, 2015, March 28, 2016, March 23, 2017, March 22, 2018, March 19, 2019, March 26, 2020, March 15, 2021, March 22, 2022, March 28, 2023, April 10, 2024, February 26, 2025 and March 26, 2026, respectively.</w:t>
      </w:r>
    </w:p>
    <w:p>
      <w:pPr>
        <w:pStyle w:val="TextBody"/>
        <w:bidi w:val="0"/>
        <w:spacing w:before="0" w:after="0"/>
        <w:jc w:val="center"/>
        <w:rPr>
          <w:bdr w:val="single" w:sz="8" w:space="1" w:color="000000"/>
        </w:rPr>
      </w:pPr>
      <w:r>
        <w:rPr>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6"/>
        <w:gridCol w:w="60"/>
        <w:gridCol w:w="9199"/>
      </w:tblGrid>
      <w:tr>
        <w:trPr/>
        <w:tc>
          <w:tcPr>
            <w:tcW w:w="946" w:type="dxa"/>
            <w:tcBorders>
              <w:bottom w:val="single" w:sz="12" w:space="0" w:color="000000"/>
            </w:tcBorders>
            <w:vAlign w:val="center"/>
          </w:tcPr>
          <w:p>
            <w:pPr>
              <w:pStyle w:val="TableContents"/>
              <w:bidi w:val="0"/>
              <w:spacing w:before="0" w:after="283"/>
              <w:jc w:val="left"/>
              <w:rPr/>
            </w:pPr>
            <w:r>
              <w:rPr>
                <w:rStyle w:val="StrongEmphasis"/>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99" w:type="dxa"/>
            <w:tcBorders>
              <w:bottom w:val="single" w:sz="12" w:space="0" w:color="000000"/>
            </w:tcBorders>
            <w:vAlign w:val="center"/>
          </w:tcPr>
          <w:p>
            <w:pPr>
              <w:pStyle w:val="TableContents"/>
              <w:bidi w:val="0"/>
              <w:spacing w:before="0" w:after="283"/>
              <w:jc w:val="center"/>
              <w:rPr/>
            </w:pPr>
            <w:r>
              <w:rPr>
                <w:rStyle w:val="StrongEmphasis"/>
                <w:sz w:val="20"/>
              </w:rPr>
              <w:t>Exhibit</w:t>
            </w:r>
          </w:p>
        </w:tc>
      </w:tr>
      <w:tr>
        <w:trPr/>
        <w:tc>
          <w:tcPr>
            <w:tcW w:w="946" w:type="dxa"/>
            <w:tcBorders/>
            <w:tcMar>
              <w:bottom w:w="0" w:type="dxa"/>
            </w:tcMar>
            <w:vAlign w:val="center"/>
          </w:tcPr>
          <w:p>
            <w:pPr>
              <w:pStyle w:val="TableContents"/>
              <w:bidi w:val="0"/>
              <w:spacing w:before="0" w:after="283"/>
              <w:jc w:val="center"/>
              <w:rPr/>
            </w:pPr>
            <w:hyperlink w:anchor="exhibit_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both"/>
              <w:rPr/>
            </w:pPr>
            <w:hyperlink w:anchor="exhibit_99-1.htm">
              <w:r>
                <w:rPr>
                  <w:rStyle w:val="InternetLink"/>
                  <w:sz w:val="20"/>
                </w:rPr>
                <w:t>Condensed consolidated financial statements of Allot Ltd. and its subsidiaries for the six months ended June 30, 2026.</w:t>
              </w:r>
            </w:hyperlink>
          </w:p>
        </w:tc>
      </w:tr>
      <w:tr>
        <w:trPr/>
        <w:tc>
          <w:tcPr>
            <w:tcW w:w="946" w:type="dxa"/>
            <w:tcBorders/>
            <w:tcMar>
              <w:bottom w:w="0" w:type="dxa"/>
            </w:tcMar>
            <w:vAlign w:val="center"/>
          </w:tcPr>
          <w:p>
            <w:pPr>
              <w:pStyle w:val="TableContents"/>
              <w:bidi w:val="0"/>
              <w:spacing w:before="0" w:after="283"/>
              <w:jc w:val="center"/>
              <w:rPr/>
            </w:pPr>
            <w:hyperlink w:anchor="exhibit_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pPr>
            <w:hyperlink w:anchor="exhibit_99-2.htm">
              <w:r>
                <w:rPr>
                  <w:rStyle w:val="InternetLink"/>
                  <w:sz w:val="20"/>
                </w:rPr>
                <w:t>Management's Discussion and Analysis of Financial Condition and Results of Operations for the six months ended June 30, 2026.</w:t>
              </w:r>
            </w:hyperlink>
            <w:r>
              <w:rPr>
                <w:sz w:val="20"/>
              </w:rPr>
              <w:t> </w:t>
            </w:r>
          </w:p>
        </w:tc>
      </w:tr>
      <w:tr>
        <w:trPr/>
        <w:tc>
          <w:tcPr>
            <w:tcW w:w="946" w:type="dxa"/>
            <w:tcBorders/>
            <w:tcMar>
              <w:bottom w:w="0" w:type="dxa"/>
            </w:tcMar>
            <w:vAlign w:val="center"/>
          </w:tcPr>
          <w:p>
            <w:pPr>
              <w:pStyle w:val="TableContents"/>
              <w:bidi w:val="0"/>
              <w:spacing w:before="0" w:after="283"/>
              <w:jc w:val="center"/>
              <w:rPr>
                <w:sz w:val="20"/>
              </w:rPr>
            </w:pPr>
            <w:r>
              <w:rPr>
                <w:sz w:val="20"/>
              </w:rPr>
              <w:t>101.INS</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sz w:val="20"/>
              </w:rPr>
            </w:pPr>
            <w:r>
              <w:rPr>
                <w:sz w:val="20"/>
              </w:rPr>
              <w:t>Inline XBRL Instance Document.</w:t>
            </w:r>
          </w:p>
        </w:tc>
      </w:tr>
      <w:tr>
        <w:trPr/>
        <w:tc>
          <w:tcPr>
            <w:tcW w:w="946" w:type="dxa"/>
            <w:tcBorders/>
            <w:tcMar>
              <w:bottom w:w="0" w:type="dxa"/>
            </w:tcMar>
            <w:vAlign w:val="center"/>
          </w:tcPr>
          <w:p>
            <w:pPr>
              <w:pStyle w:val="TableContents"/>
              <w:bidi w:val="0"/>
              <w:spacing w:before="0" w:after="283"/>
              <w:jc w:val="center"/>
              <w:rPr>
                <w:sz w:val="20"/>
              </w:rPr>
            </w:pPr>
            <w:r>
              <w:rPr>
                <w:sz w:val="20"/>
              </w:rPr>
              <w:t>101.SCH</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sz w:val="20"/>
              </w:rPr>
            </w:pPr>
            <w:r>
              <w:rPr>
                <w:sz w:val="20"/>
              </w:rPr>
              <w:t>Inline XBRL Taxonomy Extension Schema Document.</w:t>
            </w:r>
          </w:p>
        </w:tc>
      </w:tr>
      <w:tr>
        <w:trPr/>
        <w:tc>
          <w:tcPr>
            <w:tcW w:w="946" w:type="dxa"/>
            <w:tcBorders/>
            <w:tcMar>
              <w:bottom w:w="0" w:type="dxa"/>
            </w:tcMar>
            <w:vAlign w:val="center"/>
          </w:tcPr>
          <w:p>
            <w:pPr>
              <w:pStyle w:val="TableContents"/>
              <w:bidi w:val="0"/>
              <w:spacing w:before="0" w:after="283"/>
              <w:jc w:val="center"/>
              <w:rPr>
                <w:sz w:val="20"/>
              </w:rPr>
            </w:pPr>
            <w:r>
              <w:rPr>
                <w:sz w:val="20"/>
              </w:rPr>
              <w:t>101.CAL</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sz w:val="20"/>
              </w:rPr>
            </w:pPr>
            <w:r>
              <w:rPr>
                <w:sz w:val="20"/>
              </w:rPr>
              <w:t>Inline XBRL Taxonomy Extension Calculation Linkbase Document.</w:t>
            </w:r>
          </w:p>
        </w:tc>
      </w:tr>
      <w:tr>
        <w:trPr/>
        <w:tc>
          <w:tcPr>
            <w:tcW w:w="946" w:type="dxa"/>
            <w:tcBorders/>
            <w:tcMar>
              <w:bottom w:w="0" w:type="dxa"/>
            </w:tcMar>
            <w:vAlign w:val="center"/>
          </w:tcPr>
          <w:p>
            <w:pPr>
              <w:pStyle w:val="TableContents"/>
              <w:bidi w:val="0"/>
              <w:spacing w:before="0" w:after="283"/>
              <w:jc w:val="center"/>
              <w:rPr>
                <w:sz w:val="20"/>
              </w:rPr>
            </w:pPr>
            <w:r>
              <w:rPr>
                <w:sz w:val="20"/>
              </w:rPr>
              <w:t>101.DEF</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sz w:val="20"/>
              </w:rPr>
            </w:pPr>
            <w:r>
              <w:rPr>
                <w:sz w:val="20"/>
              </w:rPr>
              <w:t>Inline XBRL Taxonomy Extension Definition Linkbase Document.</w:t>
            </w:r>
          </w:p>
        </w:tc>
      </w:tr>
      <w:tr>
        <w:trPr/>
        <w:tc>
          <w:tcPr>
            <w:tcW w:w="946" w:type="dxa"/>
            <w:tcBorders/>
            <w:tcMar>
              <w:bottom w:w="0" w:type="dxa"/>
            </w:tcMar>
            <w:vAlign w:val="center"/>
          </w:tcPr>
          <w:p>
            <w:pPr>
              <w:pStyle w:val="TableContents"/>
              <w:bidi w:val="0"/>
              <w:spacing w:before="0" w:after="283"/>
              <w:jc w:val="center"/>
              <w:rPr>
                <w:sz w:val="20"/>
              </w:rPr>
            </w:pPr>
            <w:r>
              <w:rPr>
                <w:sz w:val="20"/>
              </w:rPr>
              <w:t>101.LAB</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sz w:val="20"/>
              </w:rPr>
            </w:pPr>
            <w:r>
              <w:rPr>
                <w:sz w:val="20"/>
              </w:rPr>
              <w:t>Inline XBRL Taxonomy Extension Label Linkbase Document.</w:t>
            </w:r>
          </w:p>
        </w:tc>
      </w:tr>
      <w:tr>
        <w:trPr/>
        <w:tc>
          <w:tcPr>
            <w:tcW w:w="946" w:type="dxa"/>
            <w:tcBorders/>
            <w:tcMar>
              <w:bottom w:w="0" w:type="dxa"/>
            </w:tcMar>
            <w:vAlign w:val="center"/>
          </w:tcPr>
          <w:p>
            <w:pPr>
              <w:pStyle w:val="TableContents"/>
              <w:bidi w:val="0"/>
              <w:spacing w:before="0" w:after="283"/>
              <w:jc w:val="center"/>
              <w:rPr>
                <w:sz w:val="20"/>
              </w:rPr>
            </w:pPr>
            <w:r>
              <w:rPr>
                <w:sz w:val="20"/>
              </w:rPr>
              <w:t>101.PRE</w:t>
            </w:r>
          </w:p>
        </w:tc>
        <w:tc>
          <w:tcPr>
            <w:tcW w:w="60" w:type="dxa"/>
            <w:tcBorders/>
            <w:tcMar>
              <w:bottom w:w="0" w:type="dxa"/>
            </w:tcMar>
            <w:vAlign w:val="center"/>
          </w:tcPr>
          <w:p>
            <w:pPr>
              <w:pStyle w:val="TableContents"/>
              <w:bidi w:val="0"/>
              <w:spacing w:before="0" w:after="283"/>
              <w:jc w:val="left"/>
              <w:rPr/>
            </w:pPr>
            <w:r>
              <w:rPr/>
              <w:t> </w:t>
            </w:r>
          </w:p>
        </w:tc>
        <w:tc>
          <w:tcPr>
            <w:tcW w:w="9199" w:type="dxa"/>
            <w:tcBorders/>
            <w:tcMar>
              <w:bottom w:w="0" w:type="dxa"/>
            </w:tcMar>
            <w:vAlign w:val="center"/>
          </w:tcPr>
          <w:p>
            <w:pPr>
              <w:pStyle w:val="TableContents"/>
              <w:bidi w:val="0"/>
              <w:spacing w:before="0" w:after="283"/>
              <w:jc w:val="left"/>
              <w:rPr>
                <w:sz w:val="20"/>
              </w:rPr>
            </w:pPr>
            <w:r>
              <w:rPr>
                <w:sz w:val="20"/>
              </w:rPr>
              <w:t>Inline XBRL Taxonomy Extension Presentation Linkbase Document.</w:t>
            </w:r>
          </w:p>
        </w:tc>
      </w:tr>
    </w:tbl>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1550"/>
        <w:gridCol w:w="320"/>
        <w:gridCol w:w="1895"/>
      </w:tblGrid>
      <w:tr>
        <w:trPr/>
        <w:tc>
          <w:tcPr>
            <w:tcW w:w="1550"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pPr>
            <w:r>
              <w:rPr>
                <w:rStyle w:val="StrongEmphasis"/>
                <w:sz w:val="20"/>
              </w:rPr>
              <w:t>Allot Ltd.</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September 9, 2026</w:t>
            </w:r>
          </w:p>
        </w:tc>
        <w:tc>
          <w:tcPr>
            <w:tcW w:w="32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Liat Nahum</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Liat Nahum</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jc w:val="center"/>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jc w:val="right"/>
        <w:rPr/>
      </w:pPr>
      <w:r>
        <w:rPr>
          <w:rStyle w:val="StrongEmphasis"/>
          <w:rFonts w:ascii="Times New Roman;Times;serif" w:hAnsi="Times New Roman;Times;serif"/>
          <w:sz w:val="20"/>
          <w:u w:val="single"/>
        </w:rPr>
        <w:t>Exhibit 99.1</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ALLOT LTD.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95"/>
        <w:gridCol w:w="1040"/>
      </w:tblGrid>
      <w:tr>
        <w:trPr/>
        <w:tc>
          <w:tcPr>
            <w:tcW w:w="6095" w:type="dxa"/>
            <w:tcBorders/>
            <w:vAlign w:val="center"/>
          </w:tcPr>
          <w:p>
            <w:pPr>
              <w:pStyle w:val="TableContents"/>
              <w:bidi w:val="0"/>
              <w:spacing w:before="0" w:after="283"/>
              <w:ind w:left="0" w:right="0" w:hanging="170"/>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ind w:left="0" w:right="0" w:hanging="170"/>
              <w:jc w:val="center"/>
              <w:rPr/>
            </w:pPr>
            <w:r>
              <w:rPr>
                <w:rStyle w:val="StrongEmphasis"/>
                <w:rFonts w:ascii="Times New Roman;Times;serif" w:hAnsi="Times New Roman;Times;serif"/>
                <w:sz w:val="20"/>
              </w:rPr>
              <w:t>Page</w:t>
            </w:r>
          </w:p>
        </w:tc>
      </w:tr>
      <w:tr>
        <w:trPr/>
        <w:tc>
          <w:tcPr>
            <w:tcW w:w="609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6095" w:type="dxa"/>
            <w:tcBorders/>
            <w:vAlign w:val="center"/>
          </w:tcPr>
          <w:p>
            <w:pPr>
              <w:pStyle w:val="TableContents"/>
              <w:bidi w:val="0"/>
              <w:spacing w:before="0" w:after="283"/>
              <w:jc w:val="left"/>
              <w:rPr/>
            </w:pPr>
            <w:hyperlink w:anchor="SHEETS">
              <w:r>
                <w:rPr>
                  <w:rStyle w:val="InternetLink"/>
                  <w:rFonts w:ascii="Times New Roman;Times;serif" w:hAnsi="Times New Roman;Times;serif"/>
                  <w:b/>
                  <w:b/>
                  <w:bCs/>
                  <w:sz w:val="20"/>
                </w:rPr>
                <w:t>Condensed Consolidated Balance Sheets</w:t>
              </w:r>
            </w:hyperlink>
          </w:p>
        </w:tc>
        <w:tc>
          <w:tcPr>
            <w:tcW w:w="1040" w:type="dxa"/>
            <w:tcBorders/>
            <w:vAlign w:val="center"/>
          </w:tcPr>
          <w:p>
            <w:pPr>
              <w:pStyle w:val="TableContents"/>
              <w:bidi w:val="0"/>
              <w:spacing w:before="0" w:after="283"/>
              <w:ind w:left="0" w:right="0" w:hanging="170"/>
              <w:jc w:val="center"/>
              <w:rPr/>
            </w:pPr>
            <w:r>
              <w:rPr>
                <w:rStyle w:val="StrongEmphasis"/>
                <w:rFonts w:ascii="Times New Roman;Times;serif" w:hAnsi="Times New Roman;Times;serif"/>
                <w:sz w:val="20"/>
              </w:rPr>
              <w:t>F - 3 - F - 4</w:t>
            </w:r>
          </w:p>
        </w:tc>
      </w:tr>
      <w:tr>
        <w:trPr/>
        <w:tc>
          <w:tcPr>
            <w:tcW w:w="609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6095" w:type="dxa"/>
            <w:tcBorders/>
            <w:vAlign w:val="center"/>
          </w:tcPr>
          <w:p>
            <w:pPr>
              <w:pStyle w:val="TableContents"/>
              <w:bidi w:val="0"/>
              <w:spacing w:before="0" w:after="283"/>
              <w:jc w:val="left"/>
              <w:rPr/>
            </w:pPr>
            <w:hyperlink w:anchor="INCOME">
              <w:r>
                <w:rPr>
                  <w:rStyle w:val="InternetLink"/>
                  <w:rFonts w:ascii="Times New Roman;Times;serif" w:hAnsi="Times New Roman;Times;serif"/>
                  <w:b/>
                  <w:b/>
                  <w:bCs/>
                  <w:sz w:val="20"/>
                </w:rPr>
                <w:t>Condensed Consolidated Statements of Comprehensive Income</w:t>
              </w:r>
            </w:hyperlink>
          </w:p>
        </w:tc>
        <w:tc>
          <w:tcPr>
            <w:tcW w:w="1040" w:type="dxa"/>
            <w:tcBorders/>
            <w:vAlign w:val="center"/>
          </w:tcPr>
          <w:p>
            <w:pPr>
              <w:pStyle w:val="TableContents"/>
              <w:bidi w:val="0"/>
              <w:spacing w:before="0" w:after="283"/>
              <w:ind w:left="0" w:right="0" w:hanging="170"/>
              <w:jc w:val="center"/>
              <w:rPr/>
            </w:pPr>
            <w:r>
              <w:rPr>
                <w:rStyle w:val="StrongEmphasis"/>
                <w:rFonts w:ascii="Times New Roman;Times;serif" w:hAnsi="Times New Roman;Times;serif"/>
                <w:sz w:val="20"/>
              </w:rPr>
              <w:t>F - 5</w:t>
            </w:r>
          </w:p>
        </w:tc>
      </w:tr>
      <w:tr>
        <w:trPr/>
        <w:tc>
          <w:tcPr>
            <w:tcW w:w="609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6095" w:type="dxa"/>
            <w:tcBorders/>
            <w:vAlign w:val="center"/>
          </w:tcPr>
          <w:p>
            <w:pPr>
              <w:pStyle w:val="TableContents"/>
              <w:bidi w:val="0"/>
              <w:spacing w:before="0" w:after="283"/>
              <w:jc w:val="left"/>
              <w:rPr/>
            </w:pPr>
            <w:hyperlink w:anchor="EQUITY">
              <w:r>
                <w:rPr>
                  <w:rStyle w:val="InternetLink"/>
                  <w:rFonts w:ascii="Times New Roman;Times;serif" w:hAnsi="Times New Roman;Times;serif"/>
                  <w:b/>
                  <w:b/>
                  <w:bCs/>
                  <w:sz w:val="20"/>
                </w:rPr>
                <w:t>Condensed Consolidated Statements of Changes in Shareholders' Equity</w:t>
              </w:r>
            </w:hyperlink>
          </w:p>
        </w:tc>
        <w:tc>
          <w:tcPr>
            <w:tcW w:w="1040" w:type="dxa"/>
            <w:tcBorders/>
            <w:vAlign w:val="center"/>
          </w:tcPr>
          <w:p>
            <w:pPr>
              <w:pStyle w:val="TableContents"/>
              <w:bidi w:val="0"/>
              <w:spacing w:before="0" w:after="283"/>
              <w:ind w:left="0" w:right="0" w:hanging="170"/>
              <w:jc w:val="center"/>
              <w:rPr/>
            </w:pPr>
            <w:r>
              <w:rPr>
                <w:rStyle w:val="StrongEmphasis"/>
                <w:rFonts w:ascii="Times New Roman;Times;serif" w:hAnsi="Times New Roman;Times;serif"/>
                <w:sz w:val="20"/>
              </w:rPr>
              <w:t>F - 6</w:t>
            </w:r>
          </w:p>
        </w:tc>
      </w:tr>
      <w:tr>
        <w:trPr/>
        <w:tc>
          <w:tcPr>
            <w:tcW w:w="609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6095" w:type="dxa"/>
            <w:tcBorders/>
            <w:vAlign w:val="center"/>
          </w:tcPr>
          <w:p>
            <w:pPr>
              <w:pStyle w:val="TableContents"/>
              <w:bidi w:val="0"/>
              <w:spacing w:before="0" w:after="283"/>
              <w:jc w:val="left"/>
              <w:rPr/>
            </w:pPr>
            <w:hyperlink w:anchor="FLOWS">
              <w:r>
                <w:rPr>
                  <w:rStyle w:val="InternetLink"/>
                  <w:rFonts w:ascii="Times New Roman;Times;serif" w:hAnsi="Times New Roman;Times;serif"/>
                  <w:b/>
                  <w:b/>
                  <w:bCs/>
                  <w:sz w:val="20"/>
                </w:rPr>
                <w:t>Condensed Consolidated Statements of Cash Flows</w:t>
              </w:r>
            </w:hyperlink>
          </w:p>
        </w:tc>
        <w:tc>
          <w:tcPr>
            <w:tcW w:w="1040" w:type="dxa"/>
            <w:tcBorders/>
            <w:vAlign w:val="center"/>
          </w:tcPr>
          <w:p>
            <w:pPr>
              <w:pStyle w:val="TableContents"/>
              <w:bidi w:val="0"/>
              <w:spacing w:before="0" w:after="283"/>
              <w:ind w:left="0" w:right="0" w:hanging="170"/>
              <w:jc w:val="center"/>
              <w:rPr/>
            </w:pPr>
            <w:r>
              <w:rPr>
                <w:rStyle w:val="StrongEmphasis"/>
                <w:rFonts w:ascii="Times New Roman;Times;serif" w:hAnsi="Times New Roman;Times;serif"/>
                <w:sz w:val="20"/>
              </w:rPr>
              <w:t>F - 7 - F - 8</w:t>
            </w:r>
          </w:p>
        </w:tc>
      </w:tr>
      <w:tr>
        <w:trPr/>
        <w:tc>
          <w:tcPr>
            <w:tcW w:w="609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6095" w:type="dxa"/>
            <w:tcBorders/>
            <w:vAlign w:val="center"/>
          </w:tcPr>
          <w:p>
            <w:pPr>
              <w:pStyle w:val="TableContents"/>
              <w:bidi w:val="0"/>
              <w:spacing w:before="0" w:after="283"/>
              <w:jc w:val="left"/>
              <w:rPr/>
            </w:pPr>
            <w:hyperlink w:anchor="NOTE">
              <w:r>
                <w:rPr>
                  <w:rStyle w:val="InternetLink"/>
                  <w:rFonts w:ascii="Times New Roman;Times;serif" w:hAnsi="Times New Roman;Times;serif"/>
                  <w:b/>
                  <w:b/>
                  <w:bCs/>
                  <w:sz w:val="20"/>
                </w:rPr>
                <w:t>Notes to Condensed Consolidated Financial Statements</w:t>
              </w:r>
            </w:hyperlink>
          </w:p>
        </w:tc>
        <w:tc>
          <w:tcPr>
            <w:tcW w:w="1040" w:type="dxa"/>
            <w:tcBorders/>
            <w:vAlign w:val="center"/>
          </w:tcPr>
          <w:p>
            <w:pPr>
              <w:pStyle w:val="TableContents"/>
              <w:bidi w:val="0"/>
              <w:spacing w:before="0" w:after="283"/>
              <w:jc w:val="center"/>
              <w:rPr/>
            </w:pPr>
            <w:r>
              <w:rPr>
                <w:rStyle w:val="StrongEmphasis"/>
                <w:rFonts w:ascii="Times New Roman;Times;serif" w:hAnsi="Times New Roman;Times;serif"/>
                <w:sz w:val="20"/>
              </w:rPr>
              <w:t>F - 9 - F - 18</w:t>
            </w:r>
          </w:p>
        </w:tc>
      </w:tr>
    </w:tbl>
    <w:p>
      <w:pPr>
        <w:pStyle w:val="TextBody"/>
        <w:bidi w:val="0"/>
        <w:spacing w:before="0" w:after="0"/>
        <w:ind w:left="6"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 -</w:t>
      </w:r>
    </w:p>
    <w:p>
      <w:pPr>
        <w:pStyle w:val="TextBody"/>
        <w:bidi w:val="0"/>
        <w:spacing w:before="0" w:after="0"/>
        <w:ind w:left="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- 2 </w:t>
      </w:r>
    </w:p>
    <w:p>
      <w:pPr>
        <w:pStyle w:val="TextBody"/>
        <w:bidi w:val="0"/>
        <w:spacing w:before="0" w:after="0"/>
        <w:ind w:left="0" w:right="0" w:hanging="0"/>
        <w:jc w:val="right"/>
        <w:rPr/>
      </w:pPr>
      <w:r>
        <w:rPr>
          <w:rStyle w:val="StrongEmphasis"/>
          <w:rFonts w:ascii="Times New Roman;Times;serif" w:hAnsi="Times New Roman;Times;serif"/>
          <w:sz w:val="20"/>
        </w:rPr>
        <w:t>ALLOT LTD.</w:t>
      </w:r>
    </w:p>
    <w:p>
      <w:pPr>
        <w:pStyle w:val="TextBody"/>
        <w:pBdr>
          <w:bottom w:val="single" w:sz="12" w:space="1" w:color="000000"/>
        </w:pBdr>
        <w:bidi w:val="0"/>
        <w:spacing w:before="0" w:after="0"/>
        <w:ind w:left="0" w:right="0" w:hanging="0"/>
        <w:jc w:val="both"/>
        <w:rPr/>
      </w:pPr>
      <w:bookmarkStart w:id="4" w:name="SHEETS"/>
      <w:bookmarkEnd w:id="4"/>
      <w:r>
        <w:rPr>
          <w:rStyle w:val="StrongEmphasis"/>
          <w:rFonts w:ascii="Times New Roman;Times;serif" w:hAnsi="Times New Roman;Times;serif"/>
          <w:b w:val="false"/>
          <w:i w:val="false"/>
          <w:caps w:val="false"/>
          <w:smallCaps w:val="false"/>
          <w:sz w:val="20"/>
        </w:rPr>
        <w:t>CONDENSED CONSOLIDATED BALANCE SHEETS (UNAUDITED)</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42"/>
        <w:gridCol w:w="60"/>
        <w:gridCol w:w="125"/>
        <w:gridCol w:w="695"/>
        <w:gridCol w:w="60"/>
        <w:gridCol w:w="60"/>
        <w:gridCol w:w="164"/>
        <w:gridCol w:w="922"/>
        <w:gridCol w:w="77"/>
      </w:tblGrid>
      <w:tr>
        <w:trPr/>
        <w:tc>
          <w:tcPr>
            <w:tcW w:w="80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7" w:type="dxa"/>
            <w:tcBorders/>
            <w:vAlign w:val="center"/>
          </w:tcPr>
          <w:p>
            <w:pPr>
              <w:pStyle w:val="TableContents"/>
              <w:bidi w:val="0"/>
              <w:spacing w:before="0" w:after="283"/>
              <w:jc w:val="left"/>
              <w:rPr/>
            </w:pPr>
            <w:r>
              <w:rPr/>
              <w:t> </w:t>
            </w:r>
          </w:p>
        </w:tc>
      </w:tr>
      <w:tr>
        <w:trPr/>
        <w:tc>
          <w:tcPr>
            <w:tcW w:w="80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7" w:type="dxa"/>
            <w:tcBorders/>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6" w:type="dxa"/>
            <w:gridSpan w:val="2"/>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6" w:type="dxa"/>
            <w:gridSpan w:val="2"/>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17,107</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3,573</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bank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15,100</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Available-for-sale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48,663</w:t>
            </w:r>
          </w:p>
        </w:tc>
        <w:tc>
          <w:tcPr>
            <w:tcW w:w="77" w:type="dxa"/>
            <w:tcBorders/>
            <w:shd w:fill="CCEEFF" w:val="clear"/>
            <w:vAlign w:val="center"/>
          </w:tcPr>
          <w:p>
            <w:pPr>
              <w:pStyle w:val="TableContents"/>
              <w:bidi w:val="0"/>
              <w:spacing w:before="0" w:after="283"/>
              <w:ind w:left="0" w:right="0" w:hanging="170"/>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receivables, net (net of allowance for credit losses $ 9,148 and $9,611 on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17,451</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 and prepaid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9,906</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13,180</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124,980</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Severance pay fund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deposit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3,327</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5,518</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732</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6,014</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31,833</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47,719</w:t>
            </w:r>
          </w:p>
        </w:tc>
        <w:tc>
          <w:tcPr>
            <w:tcW w:w="77" w:type="dxa"/>
            <w:tcBorders/>
            <w:shd w:fill="FFFFFF" w:val="clear"/>
            <w:vAlign w:val="center"/>
          </w:tcPr>
          <w:p>
            <w:pPr>
              <w:pStyle w:val="TableContents"/>
              <w:bidi w:val="0"/>
              <w:spacing w:before="0" w:after="283"/>
              <w:jc w:val="left"/>
              <w:rPr/>
            </w:pPr>
            <w:r>
              <w:rPr/>
              <w:t> </w:t>
            </w:r>
          </w:p>
        </w:tc>
      </w:tr>
      <w:tr>
        <w:trPr/>
        <w:tc>
          <w:tcPr>
            <w:tcW w:w="80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172,699</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- 3 </w:t>
      </w:r>
    </w:p>
    <w:p>
      <w:pPr>
        <w:pStyle w:val="TextBody"/>
        <w:bidi w:val="0"/>
        <w:spacing w:before="0" w:after="0"/>
        <w:ind w:left="0" w:right="0" w:hanging="0"/>
        <w:jc w:val="right"/>
        <w:rPr/>
      </w:pPr>
      <w:r>
        <w:rPr>
          <w:rStyle w:val="StrongEmphasis"/>
          <w:rFonts w:ascii="Times New Roman;Times;serif" w:hAnsi="Times New Roman;Times;serif"/>
          <w:sz w:val="20"/>
        </w:rPr>
        <w:t>ALLOT LTD.</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CONDENSED CONSOLIDATED BALANCE SHEETS (UNAUDITED)</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4"/>
        <w:gridCol w:w="60"/>
        <w:gridCol w:w="125"/>
        <w:gridCol w:w="755"/>
        <w:gridCol w:w="80"/>
        <w:gridCol w:w="60"/>
        <w:gridCol w:w="141"/>
        <w:gridCol w:w="854"/>
        <w:gridCol w:w="96"/>
      </w:tblGrid>
      <w:tr>
        <w:trPr/>
        <w:tc>
          <w:tcPr>
            <w:tcW w:w="8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96" w:type="dxa"/>
            <w:tcBorders/>
            <w:vAlign w:val="center"/>
          </w:tcPr>
          <w:p>
            <w:pPr>
              <w:pStyle w:val="TableContents"/>
              <w:bidi w:val="0"/>
              <w:spacing w:before="0" w:after="283"/>
              <w:jc w:val="left"/>
              <w:rPr/>
            </w:pPr>
            <w:r>
              <w:rPr/>
              <w:t> </w:t>
            </w:r>
          </w:p>
        </w:tc>
      </w:tr>
      <w:tr>
        <w:trPr/>
        <w:tc>
          <w:tcPr>
            <w:tcW w:w="8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6" w:type="dxa"/>
            <w:tcBorders/>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payables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938</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Employees and payroll accruals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9,254</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24,700</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payables and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11,919</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47,159</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5,912</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5,392</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severance pay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886</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12,190</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70"/>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of NIS 0.1 par value: 200,000,000 shares authorized, 50,198,549 and 49,461,282 shares issued and 49,382,549 and 48,645,282  shares outsatanding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1,281</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375,430</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 at cost - 816,000 shares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(3,998</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2,632</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(257,479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(261,995</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113,350</w:t>
            </w:r>
          </w:p>
        </w:tc>
        <w:tc>
          <w:tcPr>
            <w:tcW w:w="96" w:type="dxa"/>
            <w:tcBorders/>
            <w:shd w:fill="CCEEFF" w:val="clear"/>
            <w:vAlign w:val="center"/>
          </w:tcPr>
          <w:p>
            <w:pPr>
              <w:pStyle w:val="TableContents"/>
              <w:bidi w:val="0"/>
              <w:spacing w:before="0" w:after="283"/>
              <w:jc w:val="left"/>
              <w:rPr/>
            </w:pPr>
            <w:r>
              <w:rPr/>
              <w:t> </w:t>
            </w:r>
          </w:p>
        </w:tc>
      </w:tr>
      <w:tr>
        <w:trPr/>
        <w:tc>
          <w:tcPr>
            <w:tcW w:w="8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172,699</w:t>
            </w:r>
          </w:p>
        </w:tc>
        <w:tc>
          <w:tcPr>
            <w:tcW w:w="9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- 4 </w:t>
      </w:r>
    </w:p>
    <w:p>
      <w:pPr>
        <w:pStyle w:val="TextBody"/>
        <w:bidi w:val="0"/>
        <w:spacing w:before="0" w:after="0"/>
        <w:ind w:left="0" w:right="0" w:hanging="0"/>
        <w:jc w:val="right"/>
        <w:rPr/>
      </w:pPr>
      <w:r>
        <w:rPr>
          <w:rStyle w:val="StrongEmphasis"/>
          <w:rFonts w:ascii="Times New Roman;Times;serif" w:hAnsi="Times New Roman;Times;serif"/>
          <w:sz w:val="20"/>
        </w:rPr>
        <w:t>ALLOT LTD.</w:t>
      </w:r>
    </w:p>
    <w:p>
      <w:pPr>
        <w:pStyle w:val="TextBody"/>
        <w:pBdr>
          <w:bottom w:val="single" w:sz="12" w:space="1" w:color="000000"/>
        </w:pBdr>
        <w:bidi w:val="0"/>
        <w:spacing w:before="0" w:after="0"/>
        <w:ind w:left="0" w:right="0" w:hanging="0"/>
        <w:jc w:val="both"/>
        <w:rPr/>
      </w:pPr>
      <w:bookmarkStart w:id="5" w:name="INCOME"/>
      <w:bookmarkEnd w:id="5"/>
      <w:r>
        <w:rPr>
          <w:rStyle w:val="StrongEmphasis"/>
          <w:rFonts w:ascii="Times New Roman;Times;serif" w:hAnsi="Times New Roman;Times;serif"/>
          <w:b w:val="false"/>
          <w:i w:val="false"/>
          <w:caps w:val="false"/>
          <w:smallCaps w:val="false"/>
          <w:sz w:val="20"/>
        </w:rPr>
        <w:t>CONDENSED CONSOLIDATED STATEMENTS OF COMPREHENSIVE INCOME (UNAUDITED)</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0"/>
        <w:gridCol w:w="60"/>
        <w:gridCol w:w="125"/>
        <w:gridCol w:w="950"/>
        <w:gridCol w:w="80"/>
        <w:gridCol w:w="60"/>
        <w:gridCol w:w="125"/>
        <w:gridCol w:w="950"/>
        <w:gridCol w:w="95"/>
      </w:tblGrid>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95"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14,040</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33,161</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54,162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47,201</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6,136</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7,687</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13,823</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33,378</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costs (net of grant participations of  $ 48 and $ 68 for the six months ended June 30, 2026, and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13,252</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14,599</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6,643</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Total</w:t>
            </w:r>
            <w:r>
              <w:rPr>
                <w:rFonts w:ascii="Times New Roman;Times;serif" w:hAnsi="Times New Roman;Times;serif"/>
                <w:sz w:val="20"/>
              </w:rPr>
              <w:t xml:space="preserve">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34,494</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(1,116</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extinguishment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1,033</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(loss) before income tax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(1,393</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628</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(2,021</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48,965,108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39,944,413</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49,864,006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39,944,413</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27"/>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Unrealized (loss) income on available-for-sale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c>
          <w:tcPr>
            <w:tcW w:w="95" w:type="dxa"/>
            <w:tcBorders/>
            <w:shd w:fill="FFFFFF" w:val="clear"/>
            <w:vAlign w:val="center"/>
          </w:tcPr>
          <w:p>
            <w:pPr>
              <w:pStyle w:val="TableContents"/>
              <w:bidi w:val="0"/>
              <w:spacing w:before="0" w:after="283"/>
              <w:ind w:left="0" w:right="0" w:hanging="227"/>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comprehensive (loss) income from available-for-sale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c>
          <w:tcPr>
            <w:tcW w:w="95" w:type="dxa"/>
            <w:tcBorders/>
            <w:shd w:fill="CCEEFF" w:val="clear"/>
            <w:vAlign w:val="center"/>
          </w:tcPr>
          <w:p>
            <w:pPr>
              <w:pStyle w:val="TableContents"/>
              <w:bidi w:val="0"/>
              <w:spacing w:before="0" w:after="283"/>
              <w:ind w:left="0" w:right="0" w:hanging="227"/>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27"/>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Unrealized income on foreign currency cash flow hedges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3,108</w:t>
            </w:r>
          </w:p>
        </w:tc>
        <w:tc>
          <w:tcPr>
            <w:tcW w:w="95" w:type="dxa"/>
            <w:tcBorders/>
            <w:shd w:fill="CCEEFF" w:val="clear"/>
            <w:vAlign w:val="center"/>
          </w:tcPr>
          <w:p>
            <w:pPr>
              <w:pStyle w:val="TableContents"/>
              <w:bidi w:val="0"/>
              <w:spacing w:before="0" w:after="283"/>
              <w:ind w:left="0" w:right="0" w:hanging="227"/>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amount reclassified to earnings from hedging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w:t>
            </w:r>
          </w:p>
        </w:tc>
        <w:tc>
          <w:tcPr>
            <w:tcW w:w="95" w:type="dxa"/>
            <w:tcBorders/>
            <w:shd w:fill="FFFF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comprehensive (loss) income from hedge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2,566</w:t>
            </w:r>
          </w:p>
        </w:tc>
        <w:tc>
          <w:tcPr>
            <w:tcW w:w="95" w:type="dxa"/>
            <w:tcBorders/>
            <w:shd w:fill="CCEEFF" w:val="clear"/>
            <w:vAlign w:val="center"/>
          </w:tcPr>
          <w:p>
            <w:pPr>
              <w:pStyle w:val="TableContents"/>
              <w:bidi w:val="0"/>
              <w:spacing w:before="0" w:after="283"/>
              <w:ind w:left="0" w:right="0" w:hanging="227"/>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27"/>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comprehensive (loss)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(1,277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2,673</w:t>
            </w:r>
          </w:p>
        </w:tc>
        <w:tc>
          <w:tcPr>
            <w:tcW w:w="95" w:type="dxa"/>
            <w:tcBorders/>
            <w:shd w:fill="CCEEFF" w:val="clear"/>
            <w:vAlign w:val="center"/>
          </w:tcPr>
          <w:p>
            <w:pPr>
              <w:pStyle w:val="TableContents"/>
              <w:bidi w:val="0"/>
              <w:spacing w:before="0" w:after="283"/>
              <w:ind w:left="0" w:right="0" w:hanging="227"/>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27"/>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- 5 </w:t>
      </w:r>
    </w:p>
    <w:p>
      <w:pPr>
        <w:pStyle w:val="TextBody"/>
        <w:bidi w:val="0"/>
        <w:spacing w:before="0" w:after="0"/>
        <w:ind w:left="0" w:right="0" w:hanging="0"/>
        <w:jc w:val="right"/>
        <w:rPr/>
      </w:pPr>
      <w:r>
        <w:rPr>
          <w:rStyle w:val="StrongEmphasis"/>
          <w:rFonts w:ascii="Times New Roman;Times;serif" w:hAnsi="Times New Roman;Times;serif"/>
          <w:sz w:val="20"/>
        </w:rPr>
        <w:t>ALLOT LTD.</w:t>
      </w:r>
    </w:p>
    <w:p>
      <w:pPr>
        <w:pStyle w:val="TextBody"/>
        <w:pBdr>
          <w:bottom w:val="single" w:sz="12" w:space="1" w:color="000000"/>
        </w:pBdr>
        <w:bidi w:val="0"/>
        <w:spacing w:before="0" w:after="0"/>
        <w:ind w:left="0" w:right="0" w:hanging="0"/>
        <w:jc w:val="both"/>
        <w:rPr/>
      </w:pPr>
      <w:bookmarkStart w:id="6" w:name="EQUITY"/>
      <w:bookmarkEnd w:id="6"/>
      <w:r>
        <w:rPr>
          <w:rStyle w:val="StrongEmphasis"/>
          <w:rFonts w:ascii="Times New Roman;Times;serif" w:hAnsi="Times New Roman;Times;serif"/>
          <w:b w:val="false"/>
          <w:i w:val="false"/>
          <w:caps w:val="false"/>
          <w:smallCaps w:val="false"/>
          <w:sz w:val="20"/>
        </w:rPr>
        <w:t xml:space="preserve">CONDENSED CONSOLIDATED STATEMENTS OF CHANGES IN SHAREHOLDERS' EQUITY (UNAUDITED)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6"/>
        <w:gridCol w:w="60"/>
        <w:gridCol w:w="65"/>
        <w:gridCol w:w="1045"/>
        <w:gridCol w:w="60"/>
        <w:gridCol w:w="60"/>
        <w:gridCol w:w="76"/>
        <w:gridCol w:w="619"/>
        <w:gridCol w:w="60"/>
        <w:gridCol w:w="60"/>
        <w:gridCol w:w="82"/>
        <w:gridCol w:w="958"/>
        <w:gridCol w:w="80"/>
        <w:gridCol w:w="60"/>
        <w:gridCol w:w="84"/>
        <w:gridCol w:w="778"/>
        <w:gridCol w:w="80"/>
        <w:gridCol w:w="60"/>
        <w:gridCol w:w="154"/>
        <w:gridCol w:w="1406"/>
        <w:gridCol w:w="80"/>
        <w:gridCol w:w="60"/>
        <w:gridCol w:w="86"/>
        <w:gridCol w:w="1097"/>
        <w:gridCol w:w="80"/>
        <w:gridCol w:w="60"/>
        <w:gridCol w:w="101"/>
        <w:gridCol w:w="1176"/>
        <w:gridCol w:w="82"/>
      </w:tblGrid>
      <w:tr>
        <w:trPr/>
        <w:tc>
          <w:tcPr>
            <w:tcW w:w="15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 paid-in 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Treasury share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2"/>
            <w:vMerge w:val="restart"/>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 other comprehensive 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vMerge w:val="restart"/>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shareholders' equity</w:t>
            </w:r>
          </w:p>
        </w:tc>
        <w:tc>
          <w:tcPr>
            <w:tcW w:w="82" w:type="dxa"/>
            <w:tcBorders/>
            <w:vAlign w:val="center"/>
          </w:tcPr>
          <w:p>
            <w:pPr>
              <w:pStyle w:val="TableContents"/>
              <w:bidi w:val="0"/>
              <w:spacing w:before="0" w:after="283"/>
              <w:jc w:val="left"/>
              <w:rPr/>
            </w:pPr>
            <w:r>
              <w:rPr/>
              <w:t> </w:t>
            </w:r>
          </w:p>
        </w:tc>
      </w:tr>
      <w:tr>
        <w:trPr/>
        <w:tc>
          <w:tcPr>
            <w:tcW w:w="15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vMerge w:val="continue"/>
            <w:tcBorders>
              <w:bottom w:val="single" w:sz="8"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vMerge w:val="continue"/>
            <w:tcBorders>
              <w:bottom w:val="single" w:sz="8"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2"/>
            <w:vMerge w:val="continue"/>
            <w:tcBorders>
              <w:bottom w:val="single" w:sz="8"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vMerge w:val="continue"/>
            <w:tcBorders>
              <w:bottom w:val="single" w:sz="8" w:space="0" w:color="000000"/>
            </w:tcBorders>
            <w:tcMar>
              <w:bottom w:w="28" w:type="dxa"/>
            </w:tcMar>
            <w:vAlign w:val="center"/>
          </w:tcPr>
          <w:p>
            <w:pPr>
              <w:pStyle w:val="Normal"/>
              <w:bidi w:val="0"/>
              <w:jc w:val="left"/>
              <w:rPr/>
            </w:pPr>
            <w:r>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vMerge w:val="continue"/>
            <w:tcBorders>
              <w:bottom w:val="single" w:sz="8" w:space="0" w:color="000000"/>
            </w:tcBorders>
            <w:tcMar>
              <w:bottom w:w="28" w:type="dxa"/>
            </w:tcMar>
            <w:vAlign w:val="center"/>
          </w:tcPr>
          <w:p>
            <w:pPr>
              <w:pStyle w:val="Normal"/>
              <w:bidi w:val="0"/>
              <w:jc w:val="left"/>
              <w:rPr/>
            </w:pPr>
            <w:r>
              <w:rPr/>
            </w:r>
          </w:p>
        </w:tc>
        <w:tc>
          <w:tcPr>
            <w:tcW w:w="82" w:type="dxa"/>
            <w:tcBorders/>
            <w:vAlign w:val="center"/>
          </w:tcPr>
          <w:p>
            <w:pPr>
              <w:pStyle w:val="TableContents"/>
              <w:bidi w:val="0"/>
              <w:spacing w:before="0" w:after="283"/>
              <w:jc w:val="left"/>
              <w:rPr/>
            </w:pPr>
            <w:r>
              <w:rPr/>
              <w:t> </w:t>
            </w:r>
          </w:p>
        </w:tc>
      </w:tr>
      <w:tr>
        <w:trPr/>
        <w:tc>
          <w:tcPr>
            <w:tcW w:w="15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13"/>
              <w:jc w:val="left"/>
              <w:rPr/>
            </w:pPr>
            <w:r>
              <w:rPr/>
              <w:t> </w:t>
            </w:r>
          </w:p>
        </w:tc>
      </w:tr>
      <w:tr>
        <w:trPr/>
        <w:tc>
          <w:tcPr>
            <w:tcW w:w="15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39,530,993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49,809</w:t>
            </w:r>
          </w:p>
        </w:tc>
        <w:tc>
          <w:tcPr>
            <w:tcW w:w="82" w:type="dxa"/>
            <w:tcBorders/>
            <w:shd w:fill="CCEEFF" w:val="clear"/>
            <w:vAlign w:val="center"/>
          </w:tcPr>
          <w:p>
            <w:pPr>
              <w:pStyle w:val="TableContents"/>
              <w:bidi w:val="0"/>
              <w:spacing w:before="0" w:after="283"/>
              <w:ind w:left="0" w:right="0" w:hanging="113"/>
              <w:jc w:val="left"/>
              <w:rPr/>
            </w:pPr>
            <w:r>
              <w:rPr/>
              <w:t> </w:t>
            </w:r>
          </w:p>
        </w:tc>
      </w:tr>
      <w:tr>
        <w:trPr/>
        <w:tc>
          <w:tcPr>
            <w:tcW w:w="15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13"/>
              <w:jc w:val="left"/>
              <w:rPr/>
            </w:pPr>
            <w:r>
              <w:rPr/>
              <w:t> </w:t>
            </w:r>
          </w:p>
        </w:tc>
      </w:tr>
      <w:tr>
        <w:trPr/>
        <w:tc>
          <w:tcPr>
            <w:tcW w:w="15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 capital</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46,588</w:t>
            </w:r>
          </w:p>
        </w:tc>
        <w:tc>
          <w:tcPr>
            <w:tcW w:w="82" w:type="dxa"/>
            <w:tcBorders/>
            <w:shd w:fill="CCEEFF" w:val="clear"/>
            <w:vAlign w:val="center"/>
          </w:tcPr>
          <w:p>
            <w:pPr>
              <w:pStyle w:val="TableContents"/>
              <w:bidi w:val="0"/>
              <w:spacing w:before="0" w:after="283"/>
              <w:ind w:left="0" w:right="0" w:hanging="113"/>
              <w:jc w:val="left"/>
              <w:rPr/>
            </w:pPr>
            <w:r>
              <w:rPr/>
              <w:t> </w:t>
            </w:r>
          </w:p>
        </w:tc>
      </w:tr>
      <w:tr>
        <w:trPr/>
        <w:tc>
          <w:tcPr>
            <w:tcW w:w="15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share options and restricted share units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1,943,308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w:t>
            </w:r>
          </w:p>
        </w:tc>
        <w:tc>
          <w:tcPr>
            <w:tcW w:w="82" w:type="dxa"/>
            <w:tcBorders/>
            <w:shd w:fill="FFFFFF" w:val="clear"/>
            <w:vAlign w:val="center"/>
          </w:tcPr>
          <w:p>
            <w:pPr>
              <w:pStyle w:val="TableContents"/>
              <w:bidi w:val="0"/>
              <w:spacing w:before="0" w:after="283"/>
              <w:ind w:left="0" w:right="0" w:hanging="113"/>
              <w:jc w:val="left"/>
              <w:rPr/>
            </w:pPr>
            <w:r>
              <w:rPr/>
              <w:t> </w:t>
            </w:r>
          </w:p>
        </w:tc>
      </w:tr>
      <w:tr>
        <w:trPr/>
        <w:tc>
          <w:tcPr>
            <w:tcW w:w="15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2,430</w:t>
            </w:r>
          </w:p>
        </w:tc>
        <w:tc>
          <w:tcPr>
            <w:tcW w:w="82" w:type="dxa"/>
            <w:tcBorders/>
            <w:shd w:fill="CCEEFF" w:val="clear"/>
            <w:vAlign w:val="center"/>
          </w:tcPr>
          <w:p>
            <w:pPr>
              <w:pStyle w:val="TableContents"/>
              <w:bidi w:val="0"/>
              <w:spacing w:before="0" w:after="283"/>
              <w:ind w:left="0" w:right="0" w:hanging="113"/>
              <w:jc w:val="left"/>
              <w:rPr/>
            </w:pPr>
            <w:r>
              <w:rPr/>
              <w:t> </w:t>
            </w:r>
          </w:p>
        </w:tc>
      </w:tr>
      <w:tr>
        <w:trPr/>
        <w:tc>
          <w:tcPr>
            <w:tcW w:w="15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2,673</w:t>
            </w:r>
          </w:p>
        </w:tc>
        <w:tc>
          <w:tcPr>
            <w:tcW w:w="82" w:type="dxa"/>
            <w:tcBorders/>
            <w:shd w:fill="FFFFFF" w:val="clear"/>
            <w:vAlign w:val="center"/>
          </w:tcPr>
          <w:p>
            <w:pPr>
              <w:pStyle w:val="TableContents"/>
              <w:bidi w:val="0"/>
              <w:spacing w:before="0" w:after="283"/>
              <w:ind w:left="0" w:right="0" w:hanging="113"/>
              <w:jc w:val="left"/>
              <w:rPr/>
            </w:pPr>
            <w:r>
              <w:rPr/>
              <w:t> </w:t>
            </w:r>
          </w:p>
        </w:tc>
      </w:tr>
      <w:tr>
        <w:trPr/>
        <w:tc>
          <w:tcPr>
            <w:tcW w:w="15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w:t>
            </w:r>
          </w:p>
        </w:tc>
        <w:tc>
          <w:tcPr>
            <w:tcW w:w="82" w:type="dxa"/>
            <w:tcBorders/>
            <w:shd w:fill="CCEEFF" w:val="clear"/>
            <w:vAlign w:val="center"/>
          </w:tcPr>
          <w:p>
            <w:pPr>
              <w:pStyle w:val="TableContents"/>
              <w:bidi w:val="0"/>
              <w:spacing w:before="0" w:after="283"/>
              <w:ind w:left="0" w:right="0" w:hanging="113"/>
              <w:jc w:val="left"/>
              <w:rPr>
                <w:rFonts w:ascii="Times New Roman;Times;serif" w:hAnsi="Times New Roman;Times;serif"/>
                <w:sz w:val="20"/>
              </w:rPr>
            </w:pPr>
            <w:r>
              <w:rPr>
                <w:rFonts w:ascii="Times New Roman;Times;serif" w:hAnsi="Times New Roman;Times;serif"/>
                <w:sz w:val="20"/>
              </w:rPr>
              <w:t>)</w:t>
            </w:r>
          </w:p>
        </w:tc>
      </w:tr>
      <w:tr>
        <w:trPr/>
        <w:tc>
          <w:tcPr>
            <w:tcW w:w="15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June 30, 2025</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46,474,301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(267,721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99,717</w:t>
            </w:r>
          </w:p>
        </w:tc>
        <w:tc>
          <w:tcPr>
            <w:tcW w:w="82" w:type="dxa"/>
            <w:tcBorders/>
            <w:shd w:fill="FFFFFF" w:val="clear"/>
            <w:vAlign w:val="center"/>
          </w:tcPr>
          <w:p>
            <w:pPr>
              <w:pStyle w:val="TableContents"/>
              <w:bidi w:val="0"/>
              <w:spacing w:before="0" w:after="283"/>
              <w:ind w:left="0" w:right="0" w:hanging="113"/>
              <w:jc w:val="left"/>
              <w:rPr/>
            </w:pPr>
            <w:r>
              <w:rPr/>
              <w:t> </w:t>
            </w:r>
          </w:p>
        </w:tc>
      </w:tr>
      <w:tr>
        <w:trPr/>
        <w:tc>
          <w:tcPr>
            <w:tcW w:w="15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13"/>
              <w:jc w:val="left"/>
              <w:rPr/>
            </w:pPr>
            <w:r>
              <w:rPr/>
              <w:t> </w:t>
            </w:r>
          </w:p>
        </w:tc>
      </w:tr>
      <w:tr>
        <w:trPr/>
        <w:tc>
          <w:tcPr>
            <w:tcW w:w="15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48,645,282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113,350</w:t>
            </w:r>
          </w:p>
        </w:tc>
        <w:tc>
          <w:tcPr>
            <w:tcW w:w="82" w:type="dxa"/>
            <w:tcBorders/>
            <w:shd w:fill="FFFFFF" w:val="clear"/>
            <w:vAlign w:val="center"/>
          </w:tcPr>
          <w:p>
            <w:pPr>
              <w:pStyle w:val="TableContents"/>
              <w:bidi w:val="0"/>
              <w:spacing w:before="0" w:after="283"/>
              <w:ind w:left="0" w:right="0" w:hanging="113"/>
              <w:jc w:val="left"/>
              <w:rPr/>
            </w:pPr>
            <w:r>
              <w:rPr/>
              <w:t> </w:t>
            </w:r>
          </w:p>
        </w:tc>
      </w:tr>
      <w:tr>
        <w:trPr/>
        <w:tc>
          <w:tcPr>
            <w:tcW w:w="15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13"/>
              <w:jc w:val="left"/>
              <w:rPr/>
            </w:pPr>
            <w:r>
              <w:rPr/>
              <w:t> </w:t>
            </w:r>
          </w:p>
        </w:tc>
      </w:tr>
      <w:tr>
        <w:trPr/>
        <w:tc>
          <w:tcPr>
            <w:tcW w:w="15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restricted share units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ind w:left="0" w:right="0" w:hanging="113"/>
              <w:jc w:val="left"/>
              <w:rPr/>
            </w:pPr>
            <w:r>
              <w:rPr/>
              <w:t> </w:t>
            </w:r>
          </w:p>
        </w:tc>
      </w:tr>
      <w:tr>
        <w:trPr/>
        <w:tc>
          <w:tcPr>
            <w:tcW w:w="15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2,737</w:t>
            </w:r>
          </w:p>
        </w:tc>
        <w:tc>
          <w:tcPr>
            <w:tcW w:w="82" w:type="dxa"/>
            <w:tcBorders/>
            <w:shd w:fill="CCEEFF" w:val="clear"/>
            <w:vAlign w:val="center"/>
          </w:tcPr>
          <w:p>
            <w:pPr>
              <w:pStyle w:val="TableContents"/>
              <w:bidi w:val="0"/>
              <w:spacing w:before="0" w:after="283"/>
              <w:ind w:left="0" w:right="0" w:hanging="113"/>
              <w:jc w:val="left"/>
              <w:rPr/>
            </w:pPr>
            <w:r>
              <w:rPr/>
              <w:t> </w:t>
            </w:r>
          </w:p>
        </w:tc>
      </w:tr>
      <w:tr>
        <w:trPr/>
        <w:tc>
          <w:tcPr>
            <w:tcW w:w="15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(1,277</w:t>
            </w:r>
          </w:p>
        </w:tc>
        <w:tc>
          <w:tcPr>
            <w:tcW w:w="82" w:type="dxa"/>
            <w:tcBorders/>
            <w:shd w:fill="FFFFFF" w:val="clear"/>
            <w:vAlign w:val="center"/>
          </w:tcPr>
          <w:p>
            <w:pPr>
              <w:pStyle w:val="TableContents"/>
              <w:bidi w:val="0"/>
              <w:spacing w:before="0" w:after="283"/>
              <w:ind w:left="0" w:right="0" w:hanging="113"/>
              <w:jc w:val="left"/>
              <w:rPr>
                <w:rFonts w:ascii="Times New Roman;Times;serif" w:hAnsi="Times New Roman;Times;serif"/>
                <w:sz w:val="20"/>
              </w:rPr>
            </w:pPr>
            <w:r>
              <w:rPr>
                <w:rFonts w:ascii="Times New Roman;Times;serif" w:hAnsi="Times New Roman;Times;serif"/>
                <w:sz w:val="20"/>
              </w:rPr>
              <w:t>)</w:t>
            </w:r>
          </w:p>
        </w:tc>
      </w:tr>
      <w:tr>
        <w:trPr/>
        <w:tc>
          <w:tcPr>
            <w:tcW w:w="15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2" w:type="dxa"/>
            <w:tcBorders/>
            <w:shd w:fill="CCEEFF" w:val="clear"/>
            <w:vAlign w:val="center"/>
          </w:tcPr>
          <w:p>
            <w:pPr>
              <w:pStyle w:val="TableContents"/>
              <w:bidi w:val="0"/>
              <w:spacing w:before="0" w:after="283"/>
              <w:ind w:left="0" w:right="0" w:hanging="113"/>
              <w:jc w:val="left"/>
              <w:rPr/>
            </w:pPr>
            <w:r>
              <w:rPr/>
              <w:t> </w:t>
            </w:r>
          </w:p>
        </w:tc>
      </w:tr>
      <w:tr>
        <w:trPr/>
        <w:tc>
          <w:tcPr>
            <w:tcW w:w="15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June 30,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49,382,549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(257,480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119,325</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- 6 </w:t>
      </w:r>
    </w:p>
    <w:p>
      <w:pPr>
        <w:pStyle w:val="TextBody"/>
        <w:bidi w:val="0"/>
        <w:spacing w:before="0" w:after="0"/>
        <w:ind w:left="0" w:right="0" w:hanging="0"/>
        <w:jc w:val="right"/>
        <w:rPr/>
      </w:pPr>
      <w:r>
        <w:rPr>
          <w:rStyle w:val="StrongEmphasis"/>
          <w:rFonts w:ascii="Times New Roman;Times;serif" w:hAnsi="Times New Roman;Times;serif"/>
          <w:sz w:val="20"/>
        </w:rPr>
        <w:t>ALLOT LTD.</w:t>
      </w:r>
    </w:p>
    <w:p>
      <w:pPr>
        <w:pStyle w:val="TextBody"/>
        <w:pBdr>
          <w:bottom w:val="single" w:sz="12" w:space="1" w:color="000000"/>
        </w:pBdr>
        <w:bidi w:val="0"/>
        <w:spacing w:before="0" w:after="0"/>
        <w:ind w:left="0" w:right="0" w:hanging="0"/>
        <w:jc w:val="both"/>
        <w:rPr/>
      </w:pPr>
      <w:bookmarkStart w:id="7" w:name="FLOWS"/>
      <w:bookmarkEnd w:id="7"/>
      <w:r>
        <w:rPr>
          <w:rStyle w:val="StrongEmphasis"/>
          <w:rFonts w:ascii="Times New Roman;Times;serif" w:hAnsi="Times New Roman;Times;serif"/>
          <w:b w:val="false"/>
          <w:i w:val="false"/>
          <w:caps w:val="false"/>
          <w:smallCaps w:val="false"/>
          <w:sz w:val="20"/>
        </w:rPr>
        <w:t>CONDENSED CONSOLIDATED STATEMENTS OF CASH FLOWS (UNAUDITED)</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560"/>
        <w:gridCol w:w="60"/>
        <w:gridCol w:w="60"/>
        <w:gridCol w:w="650"/>
        <w:gridCol w:w="80"/>
        <w:gridCol w:w="60"/>
        <w:gridCol w:w="60"/>
        <w:gridCol w:w="650"/>
        <w:gridCol w:w="95"/>
      </w:tblGrid>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9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2,419</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2,430</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extinguishment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1,410</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premium, discount and accrued interest on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income from lease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(gain) of foreign exchange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 in accrued severance pay,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other assets, other receivables and prepaid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1,619</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(decrease) in operating leases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 operating lease right-of-use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trade receivables,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trade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 in employees and payroll accruals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deferred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2,536</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other payables and accrued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914</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5,660</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 restricted deposit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short-term bank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(15,750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of short-term bank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19,950</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marketable securitie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(55,434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redemption or sale of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49,683</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sale of patent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(22,357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(1,787</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- 7 </w:t>
      </w:r>
    </w:p>
    <w:p>
      <w:pPr>
        <w:pStyle w:val="TextBody"/>
        <w:bidi w:val="0"/>
        <w:spacing w:before="0" w:after="0"/>
        <w:ind w:left="0" w:right="0" w:hanging="0"/>
        <w:jc w:val="right"/>
        <w:rPr/>
      </w:pPr>
      <w:r>
        <w:rPr>
          <w:rStyle w:val="StrongEmphasis"/>
          <w:rFonts w:ascii="Times New Roman;Times;serif" w:hAnsi="Times New Roman;Times;serif"/>
          <w:sz w:val="20"/>
        </w:rPr>
        <w:t>ALLOT LTD.</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CONDENSED CONSOLIDATED STATEMENTS OF CASH FLOWS (UNAUDITED)</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both"/>
        <w:rPr>
          <w:caps w:val="false"/>
          <w:smallCaps w:val="false"/>
        </w:rPr>
      </w:pPr>
      <w:r>
        <w:rPr>
          <w:caps w:val="false"/>
          <w:smallCaps w:val="false"/>
        </w:rPr>
        <w:t> </w:t>
      </w:r>
    </w:p>
    <w:tbl>
      <w:tblPr>
        <w:tblW w:w="7820" w:type="dxa"/>
        <w:jc w:val="left"/>
        <w:tblInd w:w="0" w:type="dxa"/>
        <w:tblLayout w:type="fixed"/>
        <w:tblCellMar>
          <w:top w:w="0" w:type="dxa"/>
          <w:left w:w="0" w:type="dxa"/>
          <w:bottom w:w="0" w:type="dxa"/>
          <w:right w:w="0" w:type="dxa"/>
        </w:tblCellMar>
      </w:tblPr>
      <w:tblGrid>
        <w:gridCol w:w="6035"/>
        <w:gridCol w:w="60"/>
        <w:gridCol w:w="125"/>
        <w:gridCol w:w="590"/>
        <w:gridCol w:w="80"/>
        <w:gridCol w:w="60"/>
        <w:gridCol w:w="125"/>
        <w:gridCol w:w="650"/>
        <w:gridCol w:w="9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share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37,691</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convertible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(31,410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6,519</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10,801</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16,142</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26,943</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Non-cash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assets obtained in the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convertible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- 8 </w:t>
      </w:r>
    </w:p>
    <w:p>
      <w:pPr>
        <w:pStyle w:val="TextBody"/>
        <w:bidi w:val="0"/>
        <w:spacing w:lineRule="auto" w:line="300"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lineRule="auto" w:line="300"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lineRule="auto" w:line="300" w:before="0" w:after="0"/>
        <w:ind w:left="0" w:right="0" w:hanging="0"/>
        <w:jc w:val="both"/>
        <w:rPr/>
      </w:pPr>
      <w:bookmarkStart w:id="8" w:name="NOTE"/>
      <w:bookmarkEnd w:id="8"/>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lineRule="auto" w:line="300" w:before="0" w:after="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lineRule="auto" w:line="300" w:before="0" w:after="0"/>
        <w:jc w:val="right"/>
        <w:rPr>
          <w:rFonts w:ascii="Times New Roman;Times;serif" w:hAnsi="Times New Roman;Times;serif"/>
          <w:b/>
          <w:sz w:val="20"/>
        </w:rPr>
      </w:pPr>
      <w:r>
        <w:rPr>
          <w:rFonts w:ascii="Times New Roman;Times;serif" w:hAnsi="Times New Roman;Times;serif"/>
          <w:b/>
          <w:sz w:val="20"/>
        </w:rPr>
        <w:t>NOTE 1: - Organization and Description of Business</w:t>
      </w:r>
    </w:p>
    <w:p>
      <w:pPr>
        <w:pStyle w:val="TextBody"/>
        <w:bidi w:val="0"/>
        <w:spacing w:lineRule="auto" w:line="300" w:before="0" w:after="0"/>
        <w:ind w:left="1134" w:right="0" w:hanging="0"/>
        <w:jc w:val="both"/>
        <w:rPr/>
      </w:pPr>
      <w:r>
        <w:rPr/>
        <w:t> </w:t>
      </w:r>
    </w:p>
    <w:p>
      <w:pPr>
        <w:pStyle w:val="TextBody"/>
        <w:bidi w:val="0"/>
        <w:spacing w:lineRule="auto" w:line="300"/>
        <w:ind w:left="1134" w:right="0" w:hanging="0"/>
        <w:jc w:val="both"/>
        <w:rPr>
          <w:rFonts w:ascii="Times New Roman;Times;serif" w:hAnsi="Times New Roman;Times;serif"/>
          <w:sz w:val="20"/>
        </w:rPr>
      </w:pPr>
      <w:r>
        <w:rPr>
          <w:rFonts w:ascii="Times New Roman;Times;serif" w:hAnsi="Times New Roman;Times;serif"/>
          <w:sz w:val="20"/>
        </w:rPr>
        <w:t>Allot Ltd. (the "Company") was incorporated in November 1996 under the laws of the State of Israel. The Company is engaged in developing, selling and marketing of leading innovative network intelligence (“Allot Smart”) and security solutions (“Allot Secure”) for mobile and fixed service providers as well as enterprises worldwide.</w:t>
      </w:r>
    </w:p>
    <w:p>
      <w:pPr>
        <w:pStyle w:val="TextBody"/>
        <w:bidi w:val="0"/>
        <w:spacing w:lineRule="auto" w:line="300" w:before="0" w:after="0"/>
        <w:jc w:val="left"/>
        <w:rPr/>
      </w:pPr>
      <w:r>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0" w:right="11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Presentation</w:t>
      </w:r>
    </w:p>
    <w:p>
      <w:pPr>
        <w:pStyle w:val="TextBody"/>
        <w:bidi w:val="0"/>
        <w:spacing w:before="0" w:after="0"/>
        <w:ind w:left="1134" w:right="1134" w:hanging="1134"/>
        <w:jc w:val="left"/>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(“GAAP”), and applicable rules and regulations of the Securities and Exchange Commission (“SEC”) regarding interim financial reporting, and include the accounts of Allot Ltd. and its wholly owned subsidiaries. All intercompany balances and transactions have been eliminated in consolidation.</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balance sheet as of June 30, 2026, was derived from the audited consolidated financial statements as of December 31, 2025,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2025., included in the Company’s Annual Report on Form 20-F/A for the year ended December 31, 2025 filed with the SEC on March 31, 2026. Certain prior year amounts have been reclassified to conform to current year presentation.</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management’s opinion, the unaudited condensed consolidated financial statements have been prepared on the same basis as the annual consolidated financial statements and reflect all adjustments, which include only normal recurring adjustments necessary for the fair presentation of the Company’s financial position as of June 30, 2026 and the Company’s condensed consolidated results of operations, shareholders’ equity, and cash flows for the six months ended June 30, 2026 and 2025. The results for the six months ended June 30, 2026 are not necessarily indicative of the results to be expected for the full year ending December 31, 2026 or any other future interim or annual period.</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Estimates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- 9</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 Company recognized revenue of approximately $ 14,524 and $ 12,049, respectively, which was included in the deferred revenue balances at the beginning of each respective period.</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transaction price allocated to remaining performance obligations represents contracts that have not yet been recognized that include deferred revenue and amounts not yet received that will be recognized as revenue in future periods. As of June 30, 2026, the aggregate amount of the transaction price allocated to remaining performance obligations that the Company expects to recognize is $ 112,598 of which approximately $ 84,549 is estimated to be recognized within the next twelve months and approximately $ 28,049 is estimated to be recognized after the next twelve months. Excluding variable considerations related to base fee from security as a service ("SECaaS").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Accounting Policies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Guidance Not Yet Adopted</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2025-09 derivatives and hedging - 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on its financial statement disclosures.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2025-11 interim reporting - 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The Company is currently evaluating the impact on its consolidated financial statement disclosures.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2025-12 codification improvements - In December 2025, the FASB issued ASU 2025-12 Codification Improvements 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is currently evaluating the impact on its consolidated financial statement.</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(loss) Statement Expenses” (“ASU 2024-03”). ASU 2024-03 requires disaggregation of certain costs and expenses included in each relevant expense caption on the Company's consolidated income (loss) statements in a separate note to the financial statements at each interim and annual reporting period, including amounts of purchases of inventory, employee compensation, depreciation, and intangible asset amortization. ASU 2024-03 is effective for fiscal years beginning after December 15, 2026, and interim reporting periods within annual reporting periods beginning after December 15, 2027, with early adoption permitted. The Company is currently evaluating the impact of adopting ASU 2024-03 on its consolidated financial statements disclosures.</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- 10</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w:t>
      </w:r>
    </w:p>
    <w:p>
      <w:pPr>
        <w:pStyle w:val="TextBody"/>
        <w:bidi w:val="0"/>
        <w:spacing w:before="0" w:after="0"/>
        <w:ind w:left="0" w:right="0" w:hanging="0"/>
        <w:jc w:val="left"/>
        <w:rPr/>
      </w:pPr>
      <w:r>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of adopting ASU 2025-10 on its consolidated financial statements.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and adopted pronouncements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“Financial Instruments - Credit Losses (Topic 326): Measurement of Credit Losses for Accounts Receivable and Contract Assets” (“ASU 2025-05”). This amendment introduces a practical expedient for the application of the current expected credit loss (“CECL”) model to current accounts receivable and contract assets. The practical expedient allows entities to assume that conditions as of the balance sheet date remain unchanged over the remaining life of these assets, thereby eliminating the need to incorporate macroeconomic forecasts. ASU 2025-05 is effective beginning after December 15, 2025, and interim reporting periods within those annual reporting periods. The Company adopted this ASU as of January 1, 2026. The adoption of this new ASU did not have a material impact on the Company's condensed consolidated financial statements.</w:t>
      </w:r>
    </w:p>
    <w:p>
      <w:pPr>
        <w:pStyle w:val="TextBody"/>
        <w:bidi w:val="0"/>
        <w:spacing w:before="0" w:after="0"/>
        <w:ind w:left="0" w:right="0" w:hanging="0"/>
        <w:jc w:val="left"/>
        <w:rPr/>
      </w:pPr>
      <w:r>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AVAILABLE-FOR-SALE MARKETABLE SECURITIES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available-for-sale marketable securities:</w:t>
      </w:r>
    </w:p>
    <w:p>
      <w:pPr>
        <w:pStyle w:val="TextBody"/>
        <w:bidi w:val="0"/>
        <w:spacing w:before="0" w:after="0"/>
        <w:ind w:left="1134" w:right="0" w:hanging="0"/>
        <w:jc w:val="both"/>
        <w:rPr>
          <w:caps w:val="false"/>
          <w:smallCaps w:val="false"/>
        </w:rPr>
      </w:pPr>
      <w:r>
        <w:rPr>
          <w:caps w:val="false"/>
          <w:smallCaps w:val="false"/>
        </w:rPr>
        <w:t> </w:t>
      </w:r>
    </w:p>
    <w:tbl>
      <w:tblPr>
        <w:tblW w:w="10590" w:type="dxa"/>
        <w:jc w:val="left"/>
        <w:tblInd w:w="1134" w:type="dxa"/>
        <w:tblLayout w:type="fixed"/>
        <w:tblCellMar>
          <w:top w:w="0" w:type="dxa"/>
          <w:left w:w="0" w:type="dxa"/>
          <w:bottom w:w="0" w:type="dxa"/>
          <w:right w:w="0" w:type="dxa"/>
        </w:tblCellMar>
      </w:tblPr>
      <w:tblGrid>
        <w:gridCol w:w="1730"/>
        <w:gridCol w:w="60"/>
        <w:gridCol w:w="187"/>
        <w:gridCol w:w="913"/>
        <w:gridCol w:w="60"/>
        <w:gridCol w:w="60"/>
        <w:gridCol w:w="646"/>
        <w:gridCol w:w="439"/>
        <w:gridCol w:w="60"/>
        <w:gridCol w:w="60"/>
        <w:gridCol w:w="271"/>
        <w:gridCol w:w="649"/>
        <w:gridCol w:w="95"/>
        <w:gridCol w:w="60"/>
        <w:gridCol w:w="140"/>
        <w:gridCol w:w="680"/>
        <w:gridCol w:w="60"/>
        <w:gridCol w:w="60"/>
        <w:gridCol w:w="187"/>
        <w:gridCol w:w="913"/>
        <w:gridCol w:w="60"/>
        <w:gridCol w:w="60"/>
        <w:gridCol w:w="379"/>
        <w:gridCol w:w="706"/>
        <w:gridCol w:w="60"/>
        <w:gridCol w:w="60"/>
        <w:gridCol w:w="548"/>
        <w:gridCol w:w="372"/>
        <w:gridCol w:w="60"/>
        <w:gridCol w:w="60"/>
        <w:gridCol w:w="140"/>
        <w:gridCol w:w="680"/>
        <w:gridCol w:w="75"/>
      </w:tblGrid>
      <w:tr>
        <w:trPr/>
        <w:tc>
          <w:tcPr>
            <w:tcW w:w="17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32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unrealized</w:t>
              <w:br/>
              <w:t>gain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Gross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unrealized</w:t>
              <w:b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unrealized</w:t>
              <w:br/>
              <w:t>gain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Gross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unrealized</w:t>
              <w:b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70"/>
              <w:jc w:val="left"/>
              <w:rPr/>
            </w:pPr>
            <w:r>
              <w:rPr/>
              <w:t> </w:t>
            </w:r>
          </w:p>
        </w:tc>
      </w:tr>
      <w:tr>
        <w:trPr/>
        <w:tc>
          <w:tcPr>
            <w:tcW w:w="1730" w:type="dxa"/>
            <w:tcBorders/>
            <w:shd w:fill="CCEEFF" w:val="clear"/>
            <w:vAlign w:val="center"/>
          </w:tcPr>
          <w:p>
            <w:pPr>
              <w:pStyle w:val="TableContents"/>
              <w:bidi w:val="0"/>
              <w:spacing w:before="0" w:after="283"/>
              <w:jc w:val="left"/>
              <w:rPr/>
            </w:pPr>
            <w:r>
              <w:rPr/>
              <w:t>Available-for-sale - matures within one year:</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1730" w:type="dxa"/>
            <w:tcBorders/>
            <w:vAlign w:val="center"/>
          </w:tcPr>
          <w:p>
            <w:pPr>
              <w:pStyle w:val="TableContents"/>
              <w:bidi w:val="0"/>
              <w:spacing w:before="0" w:after="283"/>
              <w:jc w:val="left"/>
              <w:rPr/>
            </w:pPr>
            <w:r>
              <w:rPr/>
              <w:t>US Governmental debentures</w:t>
            </w:r>
          </w:p>
        </w:tc>
        <w:tc>
          <w:tcPr>
            <w:tcW w:w="60" w:type="dxa"/>
            <w:tcBorders/>
            <w:vAlign w:val="center"/>
          </w:tcPr>
          <w:p>
            <w:pPr>
              <w:pStyle w:val="TableContents"/>
              <w:bidi w:val="0"/>
              <w:spacing w:before="0" w:after="283"/>
              <w:jc w:val="lef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tcMar>
              <w:bottom w:w="28" w:type="dxa"/>
            </w:tcMar>
            <w:vAlign w:val="center"/>
          </w:tcPr>
          <w:p>
            <w:pPr>
              <w:pStyle w:val="TableContents"/>
              <w:bidi w:val="0"/>
              <w:spacing w:before="0" w:after="283"/>
              <w:jc w:val="right"/>
              <w:rPr/>
            </w:pPr>
            <w:r>
              <w:rPr/>
              <w:t>57,378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bottom w:val="single" w:sz="8" w:space="0" w:color="000000"/>
            </w:tcBorders>
            <w:tcMar>
              <w:bottom w:w="28" w:type="dxa"/>
            </w:tcMar>
            <w:vAlign w:val="center"/>
          </w:tcPr>
          <w:p>
            <w:pPr>
              <w:pStyle w:val="TableContents"/>
              <w:bidi w:val="0"/>
              <w:spacing w:before="0" w:after="283"/>
              <w:jc w:val="left"/>
              <w:rPr/>
            </w:pPr>
            <w:r>
              <w:rPr/>
              <w:t> </w:t>
            </w:r>
          </w:p>
        </w:tc>
        <w:tc>
          <w:tcPr>
            <w:tcW w:w="439"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tcMar>
              <w:bottom w:w="28" w:type="dxa"/>
            </w:tcMar>
            <w:vAlign w:val="center"/>
          </w:tcPr>
          <w:p>
            <w:pPr>
              <w:pStyle w:val="TableContents"/>
              <w:bidi w:val="0"/>
              <w:spacing w:before="0" w:after="283"/>
              <w:jc w:val="right"/>
              <w:rPr/>
            </w:pPr>
            <w:r>
              <w:rPr/>
              <w:t>(33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57,345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tcMar>
              <w:bottom w:w="28" w:type="dxa"/>
            </w:tcMar>
            <w:vAlign w:val="center"/>
          </w:tcPr>
          <w:p>
            <w:pPr>
              <w:pStyle w:val="TableContents"/>
              <w:bidi w:val="0"/>
              <w:spacing w:before="0" w:after="283"/>
              <w:jc w:val="right"/>
              <w:rPr/>
            </w:pPr>
            <w:r>
              <w:rPr/>
              <w:t>48,630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 w:type="dxa"/>
            <w:tcBorders>
              <w:bottom w:val="single" w:sz="8" w:space="0" w:color="000000"/>
            </w:tcBorders>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tcMar>
              <w:bottom w:w="28" w:type="dxa"/>
            </w:tcMar>
            <w:vAlign w:val="center"/>
          </w:tcPr>
          <w:p>
            <w:pPr>
              <w:pStyle w:val="TableContents"/>
              <w:bidi w:val="0"/>
              <w:spacing w:before="0" w:after="283"/>
              <w:jc w:val="right"/>
              <w:rPr/>
            </w:pPr>
            <w:r>
              <w:rPr/>
              <w:t>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 w:type="dxa"/>
            <w:tcBorders>
              <w:bottom w:val="single" w:sz="8" w:space="0" w:color="000000"/>
            </w:tcBorders>
            <w:tcMar>
              <w:bottom w:w="28" w:type="dxa"/>
            </w:tcMar>
            <w:vAlign w:val="center"/>
          </w:tcPr>
          <w:p>
            <w:pPr>
              <w:pStyle w:val="TableContents"/>
              <w:bidi w:val="0"/>
              <w:spacing w:before="0" w:after="283"/>
              <w:jc w:val="left"/>
              <w:rPr/>
            </w:pPr>
            <w:r>
              <w:rPr/>
              <w:t> </w:t>
            </w:r>
          </w:p>
        </w:tc>
        <w:tc>
          <w:tcPr>
            <w:tcW w:w="372"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48,663</w:t>
            </w:r>
          </w:p>
        </w:tc>
        <w:tc>
          <w:tcPr>
            <w:tcW w:w="75" w:type="dxa"/>
            <w:tcBorders/>
            <w:vAlign w:val="center"/>
          </w:tcPr>
          <w:p>
            <w:pPr>
              <w:pStyle w:val="TableContents"/>
              <w:bidi w:val="0"/>
              <w:spacing w:before="0" w:after="283"/>
              <w:ind w:left="0" w:right="0" w:hanging="170"/>
              <w:jc w:val="left"/>
              <w:rPr/>
            </w:pPr>
            <w:r>
              <w:rPr/>
              <w:t> </w:t>
            </w:r>
          </w:p>
        </w:tc>
      </w:tr>
      <w:tr>
        <w:trPr/>
        <w:tc>
          <w:tcPr>
            <w:tcW w:w="1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8"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bottom w:val="double" w:sz="6" w:space="0" w:color="000000"/>
            </w:tcBorders>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tcMar>
              <w:bottom w:w="28" w:type="dxa"/>
            </w:tcMar>
            <w:vAlign w:val="center"/>
          </w:tcPr>
          <w:p>
            <w:pPr>
              <w:pStyle w:val="TableContents"/>
              <w:bidi w:val="0"/>
              <w:spacing w:before="0" w:after="283"/>
              <w:jc w:val="right"/>
              <w:rPr/>
            </w:pPr>
            <w:r>
              <w:rPr/>
              <w:t>57,378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6" w:type="dxa"/>
            <w:tcBorders>
              <w:bottom w:val="double" w:sz="6" w:space="0" w:color="000000"/>
            </w:tcBorders>
            <w:tcMar>
              <w:bottom w:w="28" w:type="dxa"/>
            </w:tcMar>
            <w:vAlign w:val="center"/>
          </w:tcPr>
          <w:p>
            <w:pPr>
              <w:pStyle w:val="TableContents"/>
              <w:bidi w:val="0"/>
              <w:spacing w:before="0" w:after="283"/>
              <w:jc w:val="left"/>
              <w:rPr/>
            </w:pPr>
            <w:r>
              <w:rPr/>
              <w:t>$</w:t>
            </w:r>
          </w:p>
        </w:tc>
        <w:tc>
          <w:tcPr>
            <w:tcW w:w="439" w:type="dxa"/>
            <w:tcBorders>
              <w:bottom w:val="double" w:sz="6"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bottom w:val="double" w:sz="6" w:space="0" w:color="000000"/>
            </w:tcBorders>
            <w:tcMar>
              <w:bottom w:w="28" w:type="dxa"/>
            </w:tcMar>
            <w:vAlign w:val="center"/>
          </w:tcPr>
          <w:p>
            <w:pPr>
              <w:pStyle w:val="TableContents"/>
              <w:bidi w:val="0"/>
              <w:spacing w:before="0" w:after="283"/>
              <w:jc w:val="left"/>
              <w:rPr/>
            </w:pPr>
            <w:r>
              <w:rPr/>
              <w:t>$</w:t>
            </w:r>
          </w:p>
        </w:tc>
        <w:tc>
          <w:tcPr>
            <w:tcW w:w="649" w:type="dxa"/>
            <w:tcBorders>
              <w:bottom w:val="double" w:sz="6" w:space="0" w:color="000000"/>
            </w:tcBorders>
            <w:tcMar>
              <w:bottom w:w="28" w:type="dxa"/>
            </w:tcMar>
            <w:vAlign w:val="center"/>
          </w:tcPr>
          <w:p>
            <w:pPr>
              <w:pStyle w:val="TableContents"/>
              <w:bidi w:val="0"/>
              <w:spacing w:before="0" w:after="283"/>
              <w:jc w:val="right"/>
              <w:rPr/>
            </w:pPr>
            <w:r>
              <w:rPr/>
              <w:t>(33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tcMar>
              <w:bottom w:w="28" w:type="dxa"/>
            </w:tcMar>
            <w:vAlign w:val="center"/>
          </w:tcPr>
          <w:p>
            <w:pPr>
              <w:pStyle w:val="TableContents"/>
              <w:bidi w:val="0"/>
              <w:spacing w:before="0" w:after="283"/>
              <w:jc w:val="right"/>
              <w:rPr/>
            </w:pPr>
            <w:r>
              <w:rPr/>
              <w:t>57,345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bottom w:val="double" w:sz="6" w:space="0" w:color="000000"/>
            </w:tcBorders>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tcMar>
              <w:bottom w:w="28" w:type="dxa"/>
            </w:tcMar>
            <w:vAlign w:val="center"/>
          </w:tcPr>
          <w:p>
            <w:pPr>
              <w:pStyle w:val="TableContents"/>
              <w:bidi w:val="0"/>
              <w:spacing w:before="0" w:after="283"/>
              <w:jc w:val="right"/>
              <w:rPr/>
            </w:pPr>
            <w:r>
              <w:rPr/>
              <w:t>48,630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 w:type="dxa"/>
            <w:tcBorders>
              <w:bottom w:val="double" w:sz="6" w:space="0" w:color="000000"/>
            </w:tcBorders>
            <w:tcMar>
              <w:bottom w:w="28" w:type="dxa"/>
            </w:tcMar>
            <w:vAlign w:val="center"/>
          </w:tcPr>
          <w:p>
            <w:pPr>
              <w:pStyle w:val="TableContents"/>
              <w:bidi w:val="0"/>
              <w:spacing w:before="0" w:after="283"/>
              <w:jc w:val="left"/>
              <w:rPr/>
            </w:pPr>
            <w:r>
              <w:rPr/>
              <w:t>$</w:t>
            </w:r>
          </w:p>
        </w:tc>
        <w:tc>
          <w:tcPr>
            <w:tcW w:w="706" w:type="dxa"/>
            <w:tcBorders>
              <w:bottom w:val="double" w:sz="6" w:space="0" w:color="000000"/>
            </w:tcBorders>
            <w:tcMar>
              <w:bottom w:w="28" w:type="dxa"/>
            </w:tcMar>
            <w:vAlign w:val="center"/>
          </w:tcPr>
          <w:p>
            <w:pPr>
              <w:pStyle w:val="TableContents"/>
              <w:bidi w:val="0"/>
              <w:spacing w:before="0" w:after="283"/>
              <w:jc w:val="right"/>
              <w:rPr/>
            </w:pPr>
            <w:r>
              <w:rPr/>
              <w:t>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 w:type="dxa"/>
            <w:tcBorders>
              <w:bottom w:val="double" w:sz="6" w:space="0" w:color="000000"/>
            </w:tcBorders>
            <w:tcMar>
              <w:bottom w:w="28" w:type="dxa"/>
            </w:tcMar>
            <w:vAlign w:val="center"/>
          </w:tcPr>
          <w:p>
            <w:pPr>
              <w:pStyle w:val="TableContents"/>
              <w:bidi w:val="0"/>
              <w:spacing w:before="0" w:after="283"/>
              <w:jc w:val="left"/>
              <w:rPr/>
            </w:pPr>
            <w:r>
              <w:rPr/>
              <w:t>$</w:t>
            </w:r>
          </w:p>
        </w:tc>
        <w:tc>
          <w:tcPr>
            <w:tcW w:w="372" w:type="dxa"/>
            <w:tcBorders>
              <w:bottom w:val="double" w:sz="6"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tcMar>
              <w:bottom w:w="28" w:type="dxa"/>
            </w:tcMar>
            <w:vAlign w:val="center"/>
          </w:tcPr>
          <w:p>
            <w:pPr>
              <w:pStyle w:val="TableContents"/>
              <w:bidi w:val="0"/>
              <w:spacing w:before="0" w:after="283"/>
              <w:jc w:val="right"/>
              <w:rPr/>
            </w:pPr>
            <w:r>
              <w:rPr/>
              <w:t>48,663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no investments with a significant unrealized loss for more than 12 months.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no credit loss impairment was recorded regarding the available for sale marketable securities.</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- 11</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FAIR VALUE MEASUREMENTS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No. 820, the Company measures its marketable securities, foreign currency derivative instruments and money market funds at fair value. Money market funds are classified within Level 1. This is because these assets are valued using quoted market prices. Foreign currency derivative contracts and Available-for-sale marketable securities are classified within Level 2. This is because these assets are valued using alternative pricing sources and models utilizing market observable inputs.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on June 30, 2026, and December 31, 2025, consisted of cash and cash equivalents, bank deposits, trade and other accounts receivable, other current assets and trade and other payables. The carrying amounts of the financial instruments, approximate fair value due to their short maturity.</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net assets measured at fair value on a recurring basis, including accrued interest components, consisted of the following types of instruments as of June 30, 2026 and December 31, 2025, respectively:</w:t>
      </w:r>
    </w:p>
    <w:p>
      <w:pPr>
        <w:pStyle w:val="TextBody"/>
        <w:bidi w:val="0"/>
        <w:spacing w:before="0" w:after="0"/>
        <w:ind w:left="1134" w:right="0" w:hanging="0"/>
        <w:jc w:val="both"/>
        <w:rPr>
          <w:caps w:val="false"/>
          <w:smallCaps w:val="false"/>
        </w:rPr>
      </w:pPr>
      <w:r>
        <w:rPr>
          <w:caps w:val="false"/>
          <w:smallCaps w:val="false"/>
        </w:rPr>
        <w:t> </w:t>
      </w:r>
    </w:p>
    <w:tbl>
      <w:tblPr>
        <w:tblW w:w="8564" w:type="dxa"/>
        <w:jc w:val="left"/>
        <w:tblInd w:w="1134" w:type="dxa"/>
        <w:tblLayout w:type="fixed"/>
        <w:tblCellMar>
          <w:top w:w="0" w:type="dxa"/>
          <w:left w:w="0" w:type="dxa"/>
          <w:bottom w:w="0" w:type="dxa"/>
          <w:right w:w="0" w:type="dxa"/>
        </w:tblCellMar>
      </w:tblPr>
      <w:tblGrid>
        <w:gridCol w:w="3755"/>
        <w:gridCol w:w="60"/>
        <w:gridCol w:w="203"/>
        <w:gridCol w:w="813"/>
        <w:gridCol w:w="87"/>
        <w:gridCol w:w="87"/>
        <w:gridCol w:w="203"/>
        <w:gridCol w:w="988"/>
        <w:gridCol w:w="87"/>
        <w:gridCol w:w="87"/>
        <w:gridCol w:w="449"/>
        <w:gridCol w:w="305"/>
        <w:gridCol w:w="87"/>
        <w:gridCol w:w="87"/>
        <w:gridCol w:w="203"/>
        <w:gridCol w:w="988"/>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using input type</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70"/>
              <w:jc w:val="left"/>
              <w:rPr/>
            </w:pPr>
            <w:r>
              <w:rPr/>
              <w:t> </w:t>
            </w:r>
          </w:p>
        </w:tc>
      </w:tr>
      <w:tr>
        <w:trPr/>
        <w:tc>
          <w:tcPr>
            <w:tcW w:w="375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755" w:type="dxa"/>
            <w:tcBorders/>
            <w:vAlign w:val="center"/>
          </w:tcPr>
          <w:p>
            <w:pPr>
              <w:pStyle w:val="TableContents"/>
              <w:bidi w:val="0"/>
              <w:spacing w:before="0" w:after="283"/>
              <w:jc w:val="left"/>
              <w:rPr/>
            </w:pPr>
            <w:r>
              <w:rPr/>
              <w:t>Money market funds -cash equivalent</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13" w:type="dxa"/>
            <w:tcBorders/>
            <w:vAlign w:val="center"/>
          </w:tcPr>
          <w:p>
            <w:pPr>
              <w:pStyle w:val="TableContents"/>
              <w:bidi w:val="0"/>
              <w:spacing w:before="0" w:after="283"/>
              <w:jc w:val="right"/>
              <w:rPr/>
            </w:pPr>
            <w:r>
              <w:rPr/>
              <w:t>5,277</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jc w:val="right"/>
              <w:rPr/>
            </w:pPr>
            <w:r>
              <w:rPr/>
              <w:t>-</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5,277</w:t>
            </w:r>
          </w:p>
        </w:tc>
        <w:tc>
          <w:tcPr>
            <w:tcW w:w="75" w:type="dxa"/>
            <w:tcBorders/>
            <w:vAlign w:val="center"/>
          </w:tcPr>
          <w:p>
            <w:pPr>
              <w:pStyle w:val="TableContents"/>
              <w:bidi w:val="0"/>
              <w:spacing w:before="0" w:after="283"/>
              <w:ind w:left="0" w:right="0" w:hanging="170"/>
              <w:jc w:val="left"/>
              <w:rPr/>
            </w:pPr>
            <w:r>
              <w:rPr/>
              <w:t> </w:t>
            </w:r>
          </w:p>
        </w:tc>
      </w:tr>
      <w:tr>
        <w:trPr/>
        <w:tc>
          <w:tcPr>
            <w:tcW w:w="3755" w:type="dxa"/>
            <w:tcBorders/>
            <w:shd w:fill="CCEEFF" w:val="clear"/>
            <w:vAlign w:val="center"/>
          </w:tcPr>
          <w:p>
            <w:pPr>
              <w:pStyle w:val="TableContents"/>
              <w:bidi w:val="0"/>
              <w:spacing w:before="0" w:after="283"/>
              <w:jc w:val="left"/>
              <w:rPr/>
            </w:pPr>
            <w:r>
              <w:rPr/>
              <w:t>Available-for-sale marketable securities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57,345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57,345</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755" w:type="dxa"/>
            <w:tcBorders/>
            <w:vAlign w:val="center"/>
          </w:tcPr>
          <w:p>
            <w:pPr>
              <w:pStyle w:val="TableContents"/>
              <w:bidi w:val="0"/>
              <w:spacing w:before="0" w:after="283"/>
              <w:jc w:val="left"/>
              <w:rPr/>
            </w:pPr>
            <w:r>
              <w:rPr/>
              <w:t>Foreign currency derivative contracts</w:t>
            </w:r>
          </w:p>
        </w:tc>
        <w:tc>
          <w:tcPr>
            <w:tcW w:w="60" w:type="dxa"/>
            <w:tcBorders/>
            <w:vAlign w:val="center"/>
          </w:tcPr>
          <w:p>
            <w:pPr>
              <w:pStyle w:val="TableContents"/>
              <w:bidi w:val="0"/>
              <w:spacing w:before="0" w:after="283"/>
              <w:jc w:val="left"/>
              <w:rPr/>
            </w:pPr>
            <w:r>
              <w:rPr/>
              <w:t> </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tcMar>
              <w:bottom w:w="28" w:type="dxa"/>
            </w:tcMar>
            <w:vAlign w:val="center"/>
          </w:tcPr>
          <w:p>
            <w:pPr>
              <w:pStyle w:val="TableContents"/>
              <w:bidi w:val="0"/>
              <w:spacing w:before="0" w:after="283"/>
              <w:jc w:val="right"/>
              <w:rPr/>
            </w:pPr>
            <w:r>
              <w:rPr/>
              <w:t>-</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tcMar>
              <w:bottom w:w="28" w:type="dxa"/>
            </w:tcMar>
            <w:vAlign w:val="center"/>
          </w:tcPr>
          <w:p>
            <w:pPr>
              <w:pStyle w:val="TableContents"/>
              <w:bidi w:val="0"/>
              <w:spacing w:before="0" w:after="283"/>
              <w:jc w:val="right"/>
              <w:rPr/>
            </w:pPr>
            <w:r>
              <w:rPr/>
              <w:t>1,579</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449" w:type="dxa"/>
            <w:tcBorders>
              <w:bottom w:val="single" w:sz="8" w:space="0" w:color="000000"/>
            </w:tcBorders>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83"/>
              <w:jc w:val="right"/>
              <w:rPr/>
            </w:pPr>
            <w:r>
              <w:rPr/>
              <w:t>-</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tcMar>
              <w:bottom w:w="28" w:type="dxa"/>
            </w:tcMar>
            <w:vAlign w:val="center"/>
          </w:tcPr>
          <w:p>
            <w:pPr>
              <w:pStyle w:val="TableContents"/>
              <w:bidi w:val="0"/>
              <w:spacing w:before="0" w:after="283"/>
              <w:jc w:val="right"/>
              <w:rPr/>
            </w:pPr>
            <w:r>
              <w:rPr/>
              <w:t>1,579</w:t>
            </w:r>
          </w:p>
        </w:tc>
        <w:tc>
          <w:tcPr>
            <w:tcW w:w="75" w:type="dxa"/>
            <w:tcBorders/>
            <w:vAlign w:val="center"/>
          </w:tcPr>
          <w:p>
            <w:pPr>
              <w:pStyle w:val="TableContents"/>
              <w:bidi w:val="0"/>
              <w:spacing w:before="0" w:after="283"/>
              <w:ind w:left="0" w:right="0" w:hanging="170"/>
              <w:jc w:val="left"/>
              <w:rPr/>
            </w:pPr>
            <w:r>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755" w:type="dxa"/>
            <w:tcBorders/>
            <w:vAlign w:val="center"/>
          </w:tcPr>
          <w:p>
            <w:pPr>
              <w:pStyle w:val="TableContents"/>
              <w:bidi w:val="0"/>
              <w:spacing w:before="0" w:after="283"/>
              <w:jc w:val="left"/>
              <w:rPr/>
            </w:pPr>
            <w:r>
              <w:rPr/>
              <w:t>Total financial assets</w:t>
            </w:r>
          </w:p>
        </w:tc>
        <w:tc>
          <w:tcPr>
            <w:tcW w:w="60" w:type="dxa"/>
            <w:tcBorders/>
            <w:vAlign w:val="center"/>
          </w:tcPr>
          <w:p>
            <w:pPr>
              <w:pStyle w:val="TableContents"/>
              <w:bidi w:val="0"/>
              <w:spacing w:before="0" w:after="283"/>
              <w:jc w:val="left"/>
              <w:rPr/>
            </w:pPr>
            <w:r>
              <w:rPr/>
              <w:t> </w:t>
            </w:r>
          </w:p>
        </w:tc>
        <w:tc>
          <w:tcPr>
            <w:tcW w:w="203" w:type="dxa"/>
            <w:tcBorders>
              <w:bottom w:val="double" w:sz="6" w:space="0" w:color="000000"/>
            </w:tcBorders>
            <w:tcMar>
              <w:bottom w:w="28" w:type="dxa"/>
            </w:tcMar>
            <w:vAlign w:val="center"/>
          </w:tcPr>
          <w:p>
            <w:pPr>
              <w:pStyle w:val="TableContents"/>
              <w:bidi w:val="0"/>
              <w:spacing w:before="0" w:after="283"/>
              <w:jc w:val="left"/>
              <w:rPr/>
            </w:pPr>
            <w:r>
              <w:rPr/>
              <w:t>$</w:t>
            </w:r>
          </w:p>
        </w:tc>
        <w:tc>
          <w:tcPr>
            <w:tcW w:w="813" w:type="dxa"/>
            <w:tcBorders>
              <w:bottom w:val="double" w:sz="6" w:space="0" w:color="000000"/>
            </w:tcBorders>
            <w:tcMar>
              <w:bottom w:w="28" w:type="dxa"/>
            </w:tcMar>
            <w:vAlign w:val="center"/>
          </w:tcPr>
          <w:p>
            <w:pPr>
              <w:pStyle w:val="TableContents"/>
              <w:bidi w:val="0"/>
              <w:spacing w:before="0" w:after="283"/>
              <w:jc w:val="right"/>
              <w:rPr/>
            </w:pPr>
            <w:r>
              <w:rPr/>
              <w:t>5,277</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bottom w:val="double" w:sz="6" w:space="0" w:color="000000"/>
            </w:tcBorders>
            <w:tcMar>
              <w:bottom w:w="28" w:type="dxa"/>
            </w:tcMar>
            <w:vAlign w:val="center"/>
          </w:tcPr>
          <w:p>
            <w:pPr>
              <w:pStyle w:val="TableContents"/>
              <w:bidi w:val="0"/>
              <w:spacing w:before="0" w:after="283"/>
              <w:jc w:val="left"/>
              <w:rPr/>
            </w:pPr>
            <w:r>
              <w:rPr/>
              <w:t>$</w:t>
            </w:r>
          </w:p>
        </w:tc>
        <w:tc>
          <w:tcPr>
            <w:tcW w:w="988" w:type="dxa"/>
            <w:tcBorders>
              <w:bottom w:val="double" w:sz="6" w:space="0" w:color="000000"/>
            </w:tcBorders>
            <w:tcMar>
              <w:bottom w:w="28" w:type="dxa"/>
            </w:tcMar>
            <w:vAlign w:val="center"/>
          </w:tcPr>
          <w:p>
            <w:pPr>
              <w:pStyle w:val="TableContents"/>
              <w:bidi w:val="0"/>
              <w:spacing w:before="0" w:after="283"/>
              <w:jc w:val="right"/>
              <w:rPr/>
            </w:pPr>
            <w:r>
              <w:rPr/>
              <w:t>58,924</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449" w:type="dxa"/>
            <w:tcBorders>
              <w:bottom w:val="double" w:sz="6" w:space="0" w:color="000000"/>
            </w:tcBorders>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tcMar>
              <w:bottom w:w="28" w:type="dxa"/>
            </w:tcMar>
            <w:vAlign w:val="center"/>
          </w:tcPr>
          <w:p>
            <w:pPr>
              <w:pStyle w:val="TableContents"/>
              <w:bidi w:val="0"/>
              <w:spacing w:before="0" w:after="283"/>
              <w:jc w:val="right"/>
              <w:rPr/>
            </w:pPr>
            <w:r>
              <w:rPr/>
              <w:t>-</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bottom w:val="double" w:sz="6" w:space="0" w:color="000000"/>
            </w:tcBorders>
            <w:tcMar>
              <w:bottom w:w="28" w:type="dxa"/>
            </w:tcMar>
            <w:vAlign w:val="center"/>
          </w:tcPr>
          <w:p>
            <w:pPr>
              <w:pStyle w:val="TableContents"/>
              <w:bidi w:val="0"/>
              <w:spacing w:before="0" w:after="283"/>
              <w:jc w:val="left"/>
              <w:rPr/>
            </w:pPr>
            <w:r>
              <w:rPr/>
              <w:t>$</w:t>
            </w:r>
          </w:p>
        </w:tc>
        <w:tc>
          <w:tcPr>
            <w:tcW w:w="988" w:type="dxa"/>
            <w:tcBorders>
              <w:bottom w:val="double" w:sz="6" w:space="0" w:color="000000"/>
            </w:tcBorders>
            <w:tcMar>
              <w:bottom w:w="28" w:type="dxa"/>
            </w:tcMar>
            <w:vAlign w:val="center"/>
          </w:tcPr>
          <w:p>
            <w:pPr>
              <w:pStyle w:val="TableContents"/>
              <w:bidi w:val="0"/>
              <w:spacing w:before="0" w:after="283"/>
              <w:jc w:val="right"/>
              <w:rPr/>
            </w:pPr>
            <w:r>
              <w:rPr/>
              <w:t>64,201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536" w:type="dxa"/>
        <w:jc w:val="left"/>
        <w:tblInd w:w="1134" w:type="dxa"/>
        <w:tblLayout w:type="fixed"/>
        <w:tblCellMar>
          <w:top w:w="0" w:type="dxa"/>
          <w:left w:w="0" w:type="dxa"/>
          <w:bottom w:w="0" w:type="dxa"/>
          <w:right w:w="0" w:type="dxa"/>
        </w:tblCellMar>
      </w:tblPr>
      <w:tblGrid>
        <w:gridCol w:w="3755"/>
        <w:gridCol w:w="60"/>
        <w:gridCol w:w="216"/>
        <w:gridCol w:w="588"/>
        <w:gridCol w:w="92"/>
        <w:gridCol w:w="92"/>
        <w:gridCol w:w="216"/>
        <w:gridCol w:w="1052"/>
        <w:gridCol w:w="92"/>
        <w:gridCol w:w="92"/>
        <w:gridCol w:w="449"/>
        <w:gridCol w:w="305"/>
        <w:gridCol w:w="92"/>
        <w:gridCol w:w="92"/>
        <w:gridCol w:w="216"/>
        <w:gridCol w:w="1052"/>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measurements using input type</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70"/>
              <w:jc w:val="left"/>
              <w:rPr/>
            </w:pPr>
            <w:r>
              <w:rPr/>
              <w:t> </w:t>
            </w:r>
          </w:p>
        </w:tc>
      </w:tr>
      <w:tr>
        <w:trPr/>
        <w:tc>
          <w:tcPr>
            <w:tcW w:w="375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755" w:type="dxa"/>
            <w:tcBorders/>
            <w:vAlign w:val="center"/>
          </w:tcPr>
          <w:p>
            <w:pPr>
              <w:pStyle w:val="TableContents"/>
              <w:bidi w:val="0"/>
              <w:spacing w:before="0" w:after="283"/>
              <w:jc w:val="left"/>
              <w:rPr/>
            </w:pPr>
            <w:r>
              <w:rPr/>
              <w:t>Money market funds -cash equivalent</w:t>
            </w:r>
          </w:p>
        </w:tc>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588" w:type="dxa"/>
            <w:tcBorders/>
            <w:vAlign w:val="center"/>
          </w:tcPr>
          <w:p>
            <w:pPr>
              <w:pStyle w:val="TableContents"/>
              <w:bidi w:val="0"/>
              <w:spacing w:before="0" w:after="283"/>
              <w:jc w:val="right"/>
              <w:rPr/>
            </w:pPr>
            <w:r>
              <w:rPr/>
              <w:t>201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201</w:t>
            </w:r>
          </w:p>
        </w:tc>
        <w:tc>
          <w:tcPr>
            <w:tcW w:w="75" w:type="dxa"/>
            <w:tcBorders/>
            <w:vAlign w:val="center"/>
          </w:tcPr>
          <w:p>
            <w:pPr>
              <w:pStyle w:val="TableContents"/>
              <w:bidi w:val="0"/>
              <w:spacing w:before="0" w:after="283"/>
              <w:ind w:left="0" w:right="0" w:hanging="170"/>
              <w:jc w:val="left"/>
              <w:rPr/>
            </w:pPr>
            <w:r>
              <w:rPr/>
              <w:t> </w:t>
            </w:r>
          </w:p>
        </w:tc>
      </w:tr>
      <w:tr>
        <w:trPr/>
        <w:tc>
          <w:tcPr>
            <w:tcW w:w="3755" w:type="dxa"/>
            <w:tcBorders/>
            <w:shd w:fill="CCEEFF" w:val="clear"/>
            <w:vAlign w:val="center"/>
          </w:tcPr>
          <w:p>
            <w:pPr>
              <w:pStyle w:val="TableContents"/>
              <w:bidi w:val="0"/>
              <w:spacing w:before="0" w:after="283"/>
              <w:jc w:val="left"/>
              <w:rPr/>
            </w:pPr>
            <w:r>
              <w:rPr/>
              <w:t>Available-for-sale marketable securities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48,663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48,663</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755" w:type="dxa"/>
            <w:tcBorders/>
            <w:vAlign w:val="center"/>
          </w:tcPr>
          <w:p>
            <w:pPr>
              <w:pStyle w:val="TableContents"/>
              <w:bidi w:val="0"/>
              <w:spacing w:before="0" w:after="283"/>
              <w:jc w:val="left"/>
              <w:rPr/>
            </w:pPr>
            <w:r>
              <w:rPr/>
              <w:t>Foreign currency derivative contracts</w:t>
            </w:r>
          </w:p>
        </w:tc>
        <w:tc>
          <w:tcPr>
            <w:tcW w:w="6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588" w:type="dxa"/>
            <w:tcBorders>
              <w:bottom w:val="single" w:sz="8" w:space="0" w:color="000000"/>
            </w:tcBorders>
            <w:tcMar>
              <w:bottom w:w="28" w:type="dxa"/>
            </w:tcMar>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tcMar>
              <w:bottom w:w="28" w:type="dxa"/>
            </w:tcMar>
            <w:vAlign w:val="center"/>
          </w:tcPr>
          <w:p>
            <w:pPr>
              <w:pStyle w:val="TableContents"/>
              <w:bidi w:val="0"/>
              <w:spacing w:before="0" w:after="283"/>
              <w:jc w:val="right"/>
              <w:rPr/>
            </w:pPr>
            <w:r>
              <w:rPr/>
              <w:t>2,654</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49" w:type="dxa"/>
            <w:tcBorders>
              <w:bottom w:val="single" w:sz="8" w:space="0" w:color="000000"/>
            </w:tcBorders>
            <w:tcMar>
              <w:bottom w:w="28" w:type="dxa"/>
            </w:tcMar>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tcMar>
              <w:bottom w:w="28" w:type="dxa"/>
            </w:tcMar>
            <w:vAlign w:val="center"/>
          </w:tcPr>
          <w:p>
            <w:pPr>
              <w:pStyle w:val="TableContents"/>
              <w:bidi w:val="0"/>
              <w:spacing w:before="0" w:after="283"/>
              <w:jc w:val="right"/>
              <w:rPr/>
            </w:pPr>
            <w:r>
              <w:rPr/>
              <w:t>2,654</w:t>
            </w:r>
          </w:p>
        </w:tc>
        <w:tc>
          <w:tcPr>
            <w:tcW w:w="75" w:type="dxa"/>
            <w:tcBorders/>
            <w:vAlign w:val="center"/>
          </w:tcPr>
          <w:p>
            <w:pPr>
              <w:pStyle w:val="TableContents"/>
              <w:bidi w:val="0"/>
              <w:spacing w:before="0" w:after="283"/>
              <w:ind w:left="0" w:right="0" w:hanging="170"/>
              <w:jc w:val="left"/>
              <w:rPr/>
            </w:pPr>
            <w:r>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755" w:type="dxa"/>
            <w:tcBorders/>
            <w:vAlign w:val="center"/>
          </w:tcPr>
          <w:p>
            <w:pPr>
              <w:pStyle w:val="TableContents"/>
              <w:bidi w:val="0"/>
              <w:spacing w:before="0" w:after="283"/>
              <w:jc w:val="left"/>
              <w:rPr/>
            </w:pPr>
            <w:r>
              <w:rPr/>
              <w:t>Total financial assets</w:t>
            </w:r>
          </w:p>
        </w:tc>
        <w:tc>
          <w:tcPr>
            <w:tcW w:w="60" w:type="dxa"/>
            <w:tcBorders/>
            <w:vAlign w:val="center"/>
          </w:tcPr>
          <w:p>
            <w:pPr>
              <w:pStyle w:val="TableContents"/>
              <w:bidi w:val="0"/>
              <w:spacing w:before="0" w:after="283"/>
              <w:jc w:val="left"/>
              <w:rPr/>
            </w:pPr>
            <w:r>
              <w:rPr/>
              <w:t> </w:t>
            </w:r>
          </w:p>
        </w:tc>
        <w:tc>
          <w:tcPr>
            <w:tcW w:w="216" w:type="dxa"/>
            <w:tcBorders>
              <w:bottom w:val="double" w:sz="6" w:space="0" w:color="000000"/>
            </w:tcBorders>
            <w:tcMar>
              <w:bottom w:w="28" w:type="dxa"/>
            </w:tcMar>
            <w:vAlign w:val="center"/>
          </w:tcPr>
          <w:p>
            <w:pPr>
              <w:pStyle w:val="TableContents"/>
              <w:bidi w:val="0"/>
              <w:spacing w:before="0" w:after="283"/>
              <w:jc w:val="left"/>
              <w:rPr/>
            </w:pPr>
            <w:r>
              <w:rPr/>
              <w:t>$</w:t>
            </w:r>
          </w:p>
        </w:tc>
        <w:tc>
          <w:tcPr>
            <w:tcW w:w="588" w:type="dxa"/>
            <w:tcBorders>
              <w:bottom w:val="double" w:sz="6" w:space="0" w:color="000000"/>
            </w:tcBorders>
            <w:tcMar>
              <w:bottom w:w="28" w:type="dxa"/>
            </w:tcMar>
            <w:vAlign w:val="center"/>
          </w:tcPr>
          <w:p>
            <w:pPr>
              <w:pStyle w:val="TableContents"/>
              <w:bidi w:val="0"/>
              <w:spacing w:before="0" w:after="283"/>
              <w:jc w:val="right"/>
              <w:rPr/>
            </w:pPr>
            <w:r>
              <w:rPr/>
              <w:t>201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bottom w:val="double" w:sz="6" w:space="0" w:color="000000"/>
            </w:tcBorders>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tcMar>
              <w:bottom w:w="28" w:type="dxa"/>
            </w:tcMar>
            <w:vAlign w:val="center"/>
          </w:tcPr>
          <w:p>
            <w:pPr>
              <w:pStyle w:val="TableContents"/>
              <w:bidi w:val="0"/>
              <w:spacing w:before="0" w:after="283"/>
              <w:jc w:val="right"/>
              <w:rPr/>
            </w:pPr>
            <w:r>
              <w:rPr/>
              <w:t>51,317</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49" w:type="dxa"/>
            <w:tcBorders>
              <w:bottom w:val="double" w:sz="6" w:space="0" w:color="000000"/>
            </w:tcBorders>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tcMar>
              <w:bottom w:w="28" w:type="dxa"/>
            </w:tcMar>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bottom w:val="double" w:sz="6" w:space="0" w:color="000000"/>
            </w:tcBorders>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tcMar>
              <w:bottom w:w="28" w:type="dxa"/>
            </w:tcMar>
            <w:vAlign w:val="center"/>
          </w:tcPr>
          <w:p>
            <w:pPr>
              <w:pStyle w:val="TableContents"/>
              <w:bidi w:val="0"/>
              <w:spacing w:before="0" w:after="283"/>
              <w:jc w:val="right"/>
              <w:rPr/>
            </w:pPr>
            <w:r>
              <w:rPr/>
              <w:t>51,518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- 12</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DERIVATIVE INSTRUMENTS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hedge transactions with a major financial institution, using derivative instruments, primarily forward contracts and options to purchase and sell foreign currencies, in order to reduce the net currency exposure associated with anticipated expenses (primarily salaries and related expenses that are designated as cash flow hedges).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hedges such future exposures for a maximum period of two years. However, the Company may choose not to hedge certain foreign currency exchange exposures for a variety of reasons, including but not limited to immateriality, accounting considerations and the prohibitive economic cost of hedging particular exposures. There can be no assurance the hedges will offset more than a portion of the financial impact resulting from movements in foreign currency exchange rates.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all derivatives on the consolidated balance sheets at fair value in accordance with ASC No. 820 at Level 2. Cash flow hedges are recorded in other comprehensive income (loss) until the hedged item is recognized in earnings. The Company does not enter into derivative transactions for trading purposes.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an accumulated unrealized income associated with cash flow hedges of $ 1,387 and $2,909 recorded in other comprehensive income as of the six months ended June 30, 2026 and 2025, respectively. As of June 30, 2026, and December 31, 2025, the Company had outstanding hedge transactions in the net amount of $ 16,914 and $ 16,180, respectively.</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amounts of outstanding foreign currency contracts in U.S. dollar as of the periods presented were as follows:</w:t>
      </w:r>
    </w:p>
    <w:p>
      <w:pPr>
        <w:pStyle w:val="TextBody"/>
        <w:bidi w:val="0"/>
        <w:spacing w:before="0" w:after="0"/>
        <w:ind w:left="0" w:right="0" w:hanging="0"/>
        <w:jc w:val="left"/>
        <w:rPr/>
      </w:pPr>
      <w:r>
        <w:rPr/>
        <w:t> </w:t>
      </w:r>
    </w:p>
    <w:tbl>
      <w:tblPr>
        <w:tblW w:w="7815" w:type="dxa"/>
        <w:jc w:val="left"/>
        <w:tblInd w:w="1134" w:type="dxa"/>
        <w:tblLayout w:type="fixed"/>
        <w:tblCellMar>
          <w:top w:w="0" w:type="dxa"/>
          <w:left w:w="0" w:type="dxa"/>
          <w:bottom w:w="0" w:type="dxa"/>
          <w:right w:w="0" w:type="dxa"/>
        </w:tblCellMar>
      </w:tblPr>
      <w:tblGrid>
        <w:gridCol w:w="5270"/>
        <w:gridCol w:w="60"/>
        <w:gridCol w:w="175"/>
        <w:gridCol w:w="700"/>
        <w:gridCol w:w="60"/>
        <w:gridCol w:w="60"/>
        <w:gridCol w:w="283"/>
        <w:gridCol w:w="1132"/>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b/>
              </w:rPr>
            </w:pPr>
            <w:r>
              <w:rPr>
                <w:b/>
              </w:rPr>
              <w:t>Derivatives Designated as Hedging Instruments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Foreign currency contracts</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1,387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2,599</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b/>
              </w:rPr>
            </w:pPr>
            <w:r>
              <w:rPr>
                <w:b/>
              </w:rPr>
              <w:t>Derivatives Not Designated as Hedging Instruments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Foreign currency contracts</w:t>
            </w:r>
          </w:p>
        </w:tc>
        <w:tc>
          <w:tcPr>
            <w:tcW w:w="60" w:type="dxa"/>
            <w:tcBorders/>
            <w:vAlign w:val="center"/>
          </w:tcPr>
          <w:p>
            <w:pPr>
              <w:pStyle w:val="TableContents"/>
              <w:bidi w:val="0"/>
              <w:spacing w:before="0" w:after="283"/>
              <w:jc w:val="left"/>
              <w:rPr/>
            </w:pPr>
            <w:r>
              <w:rPr/>
              <w:t> </w:t>
            </w:r>
          </w:p>
        </w:tc>
        <w:tc>
          <w:tcPr>
            <w:tcW w:w="175" w:type="dxa"/>
            <w:tcBorders>
              <w:bottom w:val="single" w:sz="8" w:space="0" w:color="000000"/>
            </w:tcBorders>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tcMar>
              <w:bottom w:w="28" w:type="dxa"/>
            </w:tcMar>
            <w:vAlign w:val="center"/>
          </w:tcPr>
          <w:p>
            <w:pPr>
              <w:pStyle w:val="TableContents"/>
              <w:bidi w:val="0"/>
              <w:spacing w:before="0" w:after="283"/>
              <w:jc w:val="right"/>
              <w:rPr/>
            </w:pPr>
            <w:r>
              <w:rPr/>
              <w:t>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tcMar>
              <w:bottom w:w="28" w:type="dxa"/>
            </w:tcMar>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Total derivative instruments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1,579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2,654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87" w:type="dxa"/>
        <w:jc w:val="left"/>
        <w:tblInd w:w="1134" w:type="dxa"/>
        <w:tblLayout w:type="fixed"/>
        <w:tblCellMar>
          <w:top w:w="0" w:type="dxa"/>
          <w:left w:w="0" w:type="dxa"/>
          <w:bottom w:w="0" w:type="dxa"/>
          <w:right w:w="0" w:type="dxa"/>
        </w:tblCellMar>
      </w:tblPr>
      <w:tblGrid>
        <w:gridCol w:w="6845"/>
        <w:gridCol w:w="60"/>
        <w:gridCol w:w="199"/>
        <w:gridCol w:w="798"/>
        <w:gridCol w:w="85"/>
        <w:gridCol w:w="85"/>
        <w:gridCol w:w="199"/>
        <w:gridCol w:w="541"/>
        <w:gridCol w:w="75"/>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Amounts reclassified from accumulated other comprehensive income to:</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8" w:type="dxa"/>
            <w:tcBorders/>
            <w:vAlign w:val="center"/>
          </w:tcPr>
          <w:p>
            <w:pPr>
              <w:pStyle w:val="TableContents"/>
              <w:bidi w:val="0"/>
              <w:spacing w:before="0" w:after="283"/>
              <w:jc w:val="right"/>
              <w:rPr/>
            </w:pPr>
            <w:r>
              <w:rPr/>
              <w:t>492</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96</w:t>
            </w:r>
          </w:p>
        </w:tc>
        <w:tc>
          <w:tcPr>
            <w:tcW w:w="75"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1,137</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218</w:t>
            </w:r>
          </w:p>
        </w:tc>
        <w:tc>
          <w:tcPr>
            <w:tcW w:w="75" w:type="dxa"/>
            <w:tcBorders/>
            <w:shd w:fill="CCEEFF" w:val="clear"/>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657</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right"/>
              <w:rPr/>
            </w:pPr>
            <w:r>
              <w:rPr/>
              <w:t>122</w:t>
            </w:r>
          </w:p>
        </w:tc>
        <w:tc>
          <w:tcPr>
            <w:tcW w:w="75"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8" w:space="0" w:color="000000"/>
            </w:tcBorders>
            <w:shd w:fill="CCEEFF" w:val="clear"/>
            <w:tcMar>
              <w:bottom w:w="28" w:type="dxa"/>
            </w:tcMar>
            <w:vAlign w:val="center"/>
          </w:tcPr>
          <w:p>
            <w:pPr>
              <w:pStyle w:val="TableContents"/>
              <w:bidi w:val="0"/>
              <w:spacing w:before="0" w:after="283"/>
              <w:jc w:val="right"/>
              <w:rPr/>
            </w:pPr>
            <w:r>
              <w:rPr/>
              <w:t>530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106</w:t>
            </w:r>
          </w:p>
        </w:tc>
        <w:tc>
          <w:tcPr>
            <w:tcW w:w="75" w:type="dxa"/>
            <w:tcBorders/>
            <w:shd w:fill="CCEEFF" w:val="clear"/>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Net amount reclassified to earnings from hedging transactions</w:t>
            </w:r>
          </w:p>
        </w:tc>
        <w:tc>
          <w:tcPr>
            <w:tcW w:w="60"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pPr>
            <w:r>
              <w:rPr/>
              <w:t>$</w:t>
            </w:r>
          </w:p>
        </w:tc>
        <w:tc>
          <w:tcPr>
            <w:tcW w:w="798" w:type="dxa"/>
            <w:tcBorders>
              <w:bottom w:val="double" w:sz="6" w:space="0" w:color="000000"/>
            </w:tcBorders>
            <w:tcMar>
              <w:bottom w:w="28" w:type="dxa"/>
            </w:tcMar>
            <w:vAlign w:val="center"/>
          </w:tcPr>
          <w:p>
            <w:pPr>
              <w:pStyle w:val="TableContents"/>
              <w:bidi w:val="0"/>
              <w:spacing w:before="0" w:after="283"/>
              <w:jc w:val="right"/>
              <w:rPr/>
            </w:pPr>
            <w:r>
              <w:rPr/>
              <w:t>2,816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tcMar>
              <w:bottom w:w="28" w:type="dxa"/>
            </w:tcMar>
            <w:vAlign w:val="center"/>
          </w:tcPr>
          <w:p>
            <w:pPr>
              <w:pStyle w:val="TableContents"/>
              <w:bidi w:val="0"/>
              <w:spacing w:before="0" w:after="283"/>
              <w:jc w:val="right"/>
              <w:rPr/>
            </w:pPr>
            <w:r>
              <w:rPr/>
              <w:t>542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- 13</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DERIVATIVE INSTRUMENTS(Cont.)</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701" w:right="0" w:hanging="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Non-designated hedges</w:t>
      </w:r>
      <w:r>
        <w:rPr>
          <w:rFonts w:ascii="Times New Roman;Times;Serif" w:hAnsi="Times New Roman;Times;Serif"/>
          <w:b w:val="false"/>
          <w:i w:val="false"/>
          <w:caps w:val="false"/>
          <w:smallCaps w:val="false"/>
          <w:sz w:val="20"/>
        </w:rPr>
        <w:t>:</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uses foreign currency forward contracts to mitigate variability in gains and losses generated from the re-measurement of certain monetary assets and liabilities denominated in foreign currencies. These derivatives do not qualify for special hedge accounting treatment. These derivatives are carried at fair value with changes recorded in financial income, net. Changes in the fair value of these derivatives are largely offset by the re-measurement of the underlying assets and liabilities. The derivatives have maturities of up to twelve months. The impact of the non-designated hedge transactions on the net income (loss) for the six months ended June 30, 2026 and 2025, was $2,477 and $1,871 respectively.</w:t>
      </w:r>
    </w:p>
    <w:p>
      <w:pPr>
        <w:pStyle w:val="TextBody"/>
        <w:bidi w:val="0"/>
        <w:spacing w:before="0" w:after="0"/>
        <w:ind w:left="1134" w:right="0" w:hanging="567"/>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Company’s outstanding non-hedge transactions were $ 10,672 and $ 11,435, respectively.</w:t>
      </w:r>
    </w:p>
    <w:p>
      <w:pPr>
        <w:pStyle w:val="TextBody"/>
        <w:bidi w:val="0"/>
        <w:spacing w:before="0" w:after="0"/>
        <w:ind w:left="0" w:right="0" w:hanging="0"/>
        <w:jc w:val="left"/>
        <w:rPr/>
      </w:pPr>
      <w:r>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INVENTORIES</w:t>
      </w:r>
    </w:p>
    <w:p>
      <w:pPr>
        <w:pStyle w:val="TextBody"/>
        <w:bidi w:val="0"/>
        <w:spacing w:before="0" w:after="0"/>
        <w:ind w:left="0" w:right="0" w:hanging="0"/>
        <w:jc w:val="left"/>
        <w:rPr/>
      </w:pPr>
      <w:r>
        <w:rPr/>
        <w:t> </w:t>
      </w:r>
    </w:p>
    <w:tbl>
      <w:tblPr>
        <w:tblW w:w="3433" w:type="dxa"/>
        <w:jc w:val="left"/>
        <w:tblInd w:w="1134" w:type="dxa"/>
        <w:tblLayout w:type="fixed"/>
        <w:tblCellMar>
          <w:top w:w="0" w:type="dxa"/>
          <w:left w:w="0" w:type="dxa"/>
          <w:bottom w:w="0" w:type="dxa"/>
          <w:right w:w="0" w:type="dxa"/>
        </w:tblCellMar>
      </w:tblPr>
      <w:tblGrid>
        <w:gridCol w:w="1280"/>
        <w:gridCol w:w="60"/>
        <w:gridCol w:w="126"/>
        <w:gridCol w:w="598"/>
        <w:gridCol w:w="60"/>
        <w:gridCol w:w="60"/>
        <w:gridCol w:w="204"/>
        <w:gridCol w:w="970"/>
        <w:gridCol w:w="75"/>
      </w:tblGrid>
      <w:tr>
        <w:trPr/>
        <w:tc>
          <w:tcPr>
            <w:tcW w:w="1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70"/>
              <w:jc w:val="left"/>
              <w:rPr/>
            </w:pPr>
            <w:r>
              <w:rPr/>
              <w:t> </w:t>
            </w:r>
          </w:p>
        </w:tc>
      </w:tr>
      <w:tr>
        <w:trPr/>
        <w:tc>
          <w:tcPr>
            <w:tcW w:w="1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Finished goods</w:t>
            </w:r>
          </w:p>
        </w:tc>
        <w:tc>
          <w:tcPr>
            <w:tcW w:w="60" w:type="dxa"/>
            <w:tcBorders/>
            <w:vAlign w:val="center"/>
          </w:tcPr>
          <w:p>
            <w:pPr>
              <w:pStyle w:val="TableContents"/>
              <w:bidi w:val="0"/>
              <w:spacing w:before="0" w:after="283"/>
              <w:jc w:val="left"/>
              <w:rPr/>
            </w:pPr>
            <w:r>
              <w:rPr/>
              <w:t> </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12,475</w:t>
            </w:r>
          </w:p>
        </w:tc>
        <w:tc>
          <w:tcPr>
            <w:tcW w:w="75" w:type="dxa"/>
            <w:tcBorders/>
            <w:vAlign w:val="center"/>
          </w:tcPr>
          <w:p>
            <w:pPr>
              <w:pStyle w:val="TableContents"/>
              <w:bidi w:val="0"/>
              <w:spacing w:before="0" w:after="283"/>
              <w:ind w:left="0" w:right="0" w:hanging="170"/>
              <w:jc w:val="left"/>
              <w:rPr/>
            </w:pPr>
            <w:r>
              <w:rPr/>
              <w:t> </w:t>
            </w:r>
          </w:p>
        </w:tc>
      </w:tr>
      <w:tr>
        <w:trPr/>
        <w:tc>
          <w:tcPr>
            <w:tcW w:w="12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13,180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 the finished products line item above includes deferral of the cost of goods sold for which revenue was not yet recognized in the amount of approximately $ 14,371 and $ 10,523 respectively.</w:t>
      </w:r>
    </w:p>
    <w:p>
      <w:pPr>
        <w:pStyle w:val="TextBody"/>
        <w:bidi w:val="0"/>
        <w:spacing w:before="0" w:after="0"/>
        <w:ind w:left="0" w:right="0" w:hanging="0"/>
        <w:jc w:val="left"/>
        <w:rPr/>
      </w:pPr>
      <w:r>
        <w:rPr/>
        <w:t> </w:t>
      </w:r>
    </w:p>
    <w:p>
      <w:pPr>
        <w:pStyle w:val="TextBody"/>
        <w:bidi w:val="0"/>
        <w:spacing w:before="0" w:after="0"/>
        <w:ind w:left="6" w:right="0" w:hanging="0"/>
        <w:jc w:val="both"/>
        <w:rPr/>
      </w:pPr>
      <w:r>
        <w:rPr>
          <w:rStyle w:val="StrongEmphasis"/>
          <w:rFonts w:ascii="Times New Roman;Times;serif" w:hAnsi="Times New Roman;Times;serif"/>
          <w:b w:val="false"/>
          <w:i w:val="false"/>
          <w:caps w:val="false"/>
          <w:smallCaps w:val="false"/>
          <w:sz w:val="20"/>
        </w:rPr>
        <w:t>NOTE 7: - PROPERTY AND EQUIPMENT, NET</w:t>
      </w:r>
    </w:p>
    <w:p>
      <w:pPr>
        <w:pStyle w:val="TextBody"/>
        <w:bidi w:val="0"/>
        <w:spacing w:before="0" w:after="0"/>
        <w:ind w:left="0" w:right="0" w:hanging="0"/>
        <w:jc w:val="left"/>
        <w:rPr/>
      </w:pPr>
      <w:r>
        <w:rPr/>
        <w:t> </w:t>
      </w:r>
    </w:p>
    <w:tbl>
      <w:tblPr>
        <w:tblW w:w="5203" w:type="dxa"/>
        <w:jc w:val="left"/>
        <w:tblInd w:w="1134" w:type="dxa"/>
        <w:tblLayout w:type="fixed"/>
        <w:tblCellMar>
          <w:top w:w="0" w:type="dxa"/>
          <w:left w:w="0" w:type="dxa"/>
          <w:bottom w:w="0" w:type="dxa"/>
          <w:right w:w="0" w:type="dxa"/>
        </w:tblCellMar>
      </w:tblPr>
      <w:tblGrid>
        <w:gridCol w:w="3050"/>
        <w:gridCol w:w="60"/>
        <w:gridCol w:w="126"/>
        <w:gridCol w:w="598"/>
        <w:gridCol w:w="60"/>
        <w:gridCol w:w="60"/>
        <w:gridCol w:w="204"/>
        <w:gridCol w:w="970"/>
        <w:gridCol w:w="75"/>
      </w:tblGrid>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 equipment</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11,970</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Computers and peripheral equipment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10,284</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furniture and equipment</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2,439</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SECaaS equipment</w:t>
            </w:r>
          </w:p>
        </w:tc>
        <w:tc>
          <w:tcPr>
            <w:tcW w:w="60" w:type="dxa"/>
            <w:tcBorders/>
            <w:vAlign w:val="center"/>
          </w:tcPr>
          <w:p>
            <w:pPr>
              <w:pStyle w:val="TableContents"/>
              <w:bidi w:val="0"/>
              <w:spacing w:before="0" w:after="283"/>
              <w:jc w:val="left"/>
              <w:rPr/>
            </w:pPr>
            <w:r>
              <w:rPr/>
              <w:t> </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8,536</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34,562</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 equipment</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10,665</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Computers and peripheral equipment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9,129</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furniture and equipment</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594</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1,630</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SECaaS equipment</w:t>
            </w:r>
          </w:p>
        </w:tc>
        <w:tc>
          <w:tcPr>
            <w:tcW w:w="60" w:type="dxa"/>
            <w:tcBorders/>
            <w:vAlign w:val="center"/>
          </w:tcPr>
          <w:p>
            <w:pPr>
              <w:pStyle w:val="TableContents"/>
              <w:bidi w:val="0"/>
              <w:spacing w:before="0" w:after="283"/>
              <w:jc w:val="left"/>
              <w:rPr/>
            </w:pPr>
            <w:r>
              <w:rPr/>
              <w:t> </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6,530</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598"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28,548</w:t>
            </w:r>
          </w:p>
        </w:tc>
        <w:tc>
          <w:tcPr>
            <w:tcW w:w="75" w:type="dxa"/>
            <w:tcBorders/>
            <w:vAlign w:val="center"/>
          </w:tcPr>
          <w:p>
            <w:pPr>
              <w:pStyle w:val="TableContents"/>
              <w:bidi w:val="0"/>
              <w:spacing w:before="0" w:after="283"/>
              <w:ind w:left="0" w:right="0" w:hanging="170"/>
              <w:jc w:val="left"/>
              <w:rPr/>
            </w:pPr>
            <w:r>
              <w:rPr/>
              <w:t> </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Depreciated cost</w:t>
            </w:r>
          </w:p>
        </w:tc>
        <w:tc>
          <w:tcPr>
            <w:tcW w:w="60" w:type="dxa"/>
            <w:tcBorders/>
            <w:vAlign w:val="center"/>
          </w:tcPr>
          <w:p>
            <w:pPr>
              <w:pStyle w:val="TableContents"/>
              <w:bidi w:val="0"/>
              <w:spacing w:before="0" w:after="283"/>
              <w:jc w:val="left"/>
              <w:rPr/>
            </w:pPr>
            <w:r>
              <w:rPr/>
              <w:t> </w:t>
            </w:r>
          </w:p>
        </w:tc>
        <w:tc>
          <w:tcPr>
            <w:tcW w:w="126"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six months ended June 30, 2026 and 2025 was $ 1,345 and $ 2,087 and respectively.</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- 14</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NOTE 8: - COMMITMENTS AND CONTINGENT LIABILITIES </w:t>
      </w:r>
    </w:p>
    <w:p>
      <w:pPr>
        <w:pStyle w:val="TextBody"/>
        <w:bidi w:val="0"/>
        <w:spacing w:before="0" w:after="0"/>
        <w:ind w:left="0" w:right="0" w:hanging="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85"/>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2090" w:type="dxa"/>
            <w:tcBorders/>
            <w:vAlign w:val="center"/>
          </w:tcPr>
          <w:p>
            <w:pPr>
              <w:pStyle w:val="TableContents"/>
              <w:bidi w:val="0"/>
              <w:spacing w:before="0" w:after="283"/>
              <w:jc w:val="left"/>
              <w:rPr/>
            </w:pPr>
            <w:r>
              <w:rPr/>
              <w:t>Liens and guarantees:</w:t>
            </w:r>
          </w:p>
        </w:tc>
      </w:tr>
    </w:tbl>
    <w:p>
      <w:pPr>
        <w:pStyle w:val="TextBody"/>
        <w:bidi w:val="0"/>
        <w:spacing w:before="0" w:after="0"/>
        <w:ind w:left="1170"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provided bank guarantees in respect of performance obligation to customers in an aggregate amount of approximately $ 3,759, in addition to bank guarantees in favor of leases agreements in an aggregate amount of approximately $ 549.</w:t>
      </w:r>
    </w:p>
    <w:p>
      <w:pPr>
        <w:pStyle w:val="TextBody"/>
        <w:bidi w:val="0"/>
        <w:spacing w:before="0" w:after="0"/>
        <w:ind w:left="1701" w:right="0" w:hanging="0"/>
        <w:jc w:val="both"/>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20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5" w:type="dxa"/>
            <w:tcBorders/>
            <w:vAlign w:val="center"/>
          </w:tcPr>
          <w:p>
            <w:pPr>
              <w:pStyle w:val="TableContents"/>
              <w:bidi w:val="0"/>
              <w:spacing w:before="0" w:after="283"/>
              <w:jc w:val="left"/>
              <w:rPr/>
            </w:pPr>
            <w:r>
              <w:rPr>
                <w:sz w:val="20"/>
              </w:rPr>
              <w:t>Litigations</w:t>
            </w:r>
            <w:r>
              <w:rPr/>
              <w:t>:</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 2021 two founders of Netonomy Ltd., a company acquired by Allot in January, 2018, filed a civil claim against Allot (the “plaintiffs”), alleging that Allot breached certain clauses of the share acquisition agreement claiming damages in the amount of app. $ 834. Allot filed its defense statement refuting all claims and denying any breach and obligation to compensate. On March 6, 2023 the Company signed a settlement agreement with the plaintiffs in which the Company agreed to pay the plaintiffs a total amount of $ 260. The plaintiffs waived all claims. The potential liability is that the remaining minority former Netonomy shareholders may file a similar claim.</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2268" w:right="0" w:hanging="5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ongoing legal proceedings with any of these minority shareholders.</w:t>
      </w:r>
    </w:p>
    <w:p>
      <w:pPr>
        <w:pStyle w:val="TextBody"/>
        <w:bidi w:val="0"/>
        <w:spacing w:before="0" w:after="0"/>
        <w:ind w:left="0" w:right="0" w:hanging="0"/>
        <w:jc w:val="left"/>
        <w:rPr/>
      </w:pPr>
      <w:r>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SHAREHOLDERS' EQUITY</w:t>
      </w:r>
    </w:p>
    <w:p>
      <w:pPr>
        <w:pStyle w:val="TextBody"/>
        <w:bidi w:val="0"/>
        <w:spacing w:before="0" w:after="0"/>
        <w:ind w:left="1134" w:right="0" w:hanging="113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915"/>
        <w:gridCol w:w="9066"/>
      </w:tblGrid>
      <w:tr>
        <w:trPr/>
        <w:tc>
          <w:tcPr>
            <w:tcW w:w="22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66"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Company's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authorized share capital consists of NIS 20,000,000 divided into 200,000,000 Ordinary Shares, par value NIS 0.1 per share. Ordinary Shares confer on their holders the right to receive notice to participate and vote in general meetings of the Company, the right to a share in the excess of assets upon liquidation of the Company, and the right to receive dividends if declared.</w:t>
      </w:r>
    </w:p>
    <w:p>
      <w:pPr>
        <w:pStyle w:val="TextBody"/>
        <w:bidi w:val="0"/>
        <w:spacing w:before="0" w:after="0"/>
        <w:ind w:left="170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203"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Option Plan and RSUs: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2016, the Company adopted the 2016 Incentive Compensation Plan (the “2016 Incentive Compensation Plan”). The 2016 Incentive Compensation Plan provides for the grant of share options (including incentive share options and non-qualified share options), ordinary shares, RSUs, PSUs, and other share-based awards.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- 15</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both"/>
        <w:rPr>
          <w:rFonts w:ascii="Times New Roman;Times;serif" w:hAnsi="Times New Roman;Times;serif"/>
          <w:b/>
          <w:sz w:val="20"/>
        </w:rPr>
      </w:pPr>
      <w:r>
        <w:rPr>
          <w:rFonts w:ascii="Times New Roman;Times;serif" w:hAnsi="Times New Roman;Times;serif"/>
          <w:b/>
          <w:sz w:val="20"/>
        </w:rPr>
        <w:t>NOTE 9: - SHAREHOLDERS' EQUITY (Cont.)</w:t>
      </w:r>
    </w:p>
    <w:p>
      <w:pPr>
        <w:pStyle w:val="TextBody"/>
        <w:bidi w:val="0"/>
        <w:spacing w:before="0" w:after="0"/>
        <w:jc w:val="left"/>
        <w:rPr/>
      </w:pPr>
      <w:r>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a summary of the RSUs and PSUs activity for the Company for the six months ended June 30, 2026:</w:t>
      </w:r>
    </w:p>
    <w:p>
      <w:pPr>
        <w:pStyle w:val="TextBody"/>
        <w:bidi w:val="0"/>
        <w:spacing w:before="0" w:after="0"/>
        <w:ind w:left="1701" w:right="0" w:hanging="0"/>
        <w:jc w:val="both"/>
        <w:rPr>
          <w:caps w:val="false"/>
          <w:smallCaps w:val="false"/>
        </w:rPr>
      </w:pPr>
      <w:r>
        <w:rPr>
          <w:caps w:val="false"/>
          <w:smallCaps w:val="false"/>
        </w:rPr>
        <w:t> </w:t>
      </w:r>
    </w:p>
    <w:tbl>
      <w:tblPr>
        <w:tblW w:w="7443" w:type="dxa"/>
        <w:jc w:val="left"/>
        <w:tblInd w:w="1701" w:type="dxa"/>
        <w:tblLayout w:type="fixed"/>
        <w:tblCellMar>
          <w:top w:w="0" w:type="dxa"/>
          <w:left w:w="0" w:type="dxa"/>
          <w:bottom w:w="0" w:type="dxa"/>
          <w:right w:w="0" w:type="dxa"/>
        </w:tblCellMar>
      </w:tblPr>
      <w:tblGrid>
        <w:gridCol w:w="2720"/>
        <w:gridCol w:w="60"/>
        <w:gridCol w:w="125"/>
        <w:gridCol w:w="1769"/>
        <w:gridCol w:w="80"/>
        <w:gridCol w:w="60"/>
        <w:gridCol w:w="631"/>
        <w:gridCol w:w="1923"/>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Number</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of shares upon exercise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share price</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62"/>
              <w:jc w:val="left"/>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at beginning of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75" w:type="dxa"/>
            <w:tcBorders/>
            <w:shd w:fill="CCEEFF" w:val="clear"/>
            <w:vAlign w:val="center"/>
          </w:tcPr>
          <w:p>
            <w:pPr>
              <w:pStyle w:val="TableContents"/>
              <w:bidi w:val="0"/>
              <w:spacing w:before="0" w:after="283"/>
              <w:ind w:left="0" w:right="0" w:hanging="162"/>
              <w:jc w:val="left"/>
              <w:rPr/>
            </w:pPr>
            <w:r>
              <w:rPr/>
              <w:t> </w:t>
            </w:r>
          </w:p>
        </w:tc>
      </w:tr>
      <w:tr>
        <w:trPr/>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370,259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w:t>
            </w:r>
          </w:p>
        </w:tc>
        <w:tc>
          <w:tcPr>
            <w:tcW w:w="75" w:type="dxa"/>
            <w:tcBorders/>
            <w:vAlign w:val="center"/>
          </w:tcPr>
          <w:p>
            <w:pPr>
              <w:pStyle w:val="TableContents"/>
              <w:bidi w:val="0"/>
              <w:spacing w:before="0" w:after="283"/>
              <w:ind w:left="0" w:right="0" w:hanging="162"/>
              <w:jc w:val="left"/>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(737,267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75" w:type="dxa"/>
            <w:tcBorders/>
            <w:shd w:fill="CCEEFF" w:val="clear"/>
            <w:vAlign w:val="center"/>
          </w:tcPr>
          <w:p>
            <w:pPr>
              <w:pStyle w:val="TableContents"/>
              <w:bidi w:val="0"/>
              <w:spacing w:before="0" w:after="283"/>
              <w:ind w:left="0" w:right="0" w:hanging="162"/>
              <w:jc w:val="left"/>
              <w:rPr/>
            </w:pPr>
            <w:r>
              <w:rPr/>
              <w:t> </w:t>
            </w:r>
          </w:p>
        </w:tc>
      </w:tr>
      <w:tr>
        <w:trPr/>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769"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(72,688</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2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w:t>
            </w:r>
          </w:p>
        </w:tc>
        <w:tc>
          <w:tcPr>
            <w:tcW w:w="7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9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62"/>
              <w:jc w:val="left"/>
              <w:rPr/>
            </w:pPr>
            <w:r>
              <w:rPr/>
              <w:t> </w:t>
            </w:r>
          </w:p>
        </w:tc>
      </w:tr>
      <w:tr>
        <w:trPr/>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end of June 2026</w:t>
            </w:r>
          </w:p>
        </w:tc>
        <w:tc>
          <w:tcPr>
            <w:tcW w:w="60" w:type="dxa"/>
            <w:tcBorders/>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1769"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1,903,496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1"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2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$ 11,379 unrecognized compensation cost related to RSUs and PSUs are expected to be recognized over a weighted average vesting period of 2.35 years.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1,248,281 Ordinary shares are available for future issuance under the option and RSUs plan.</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370,259 and 1,496,627 RSUs in the six months ended June 30, 2026, and 2025, respectively, under the 2016 Incentive Compensation Plan. The fair value of the RSUs vested during the six months ended June 30, 2026 and 2025 is $ 6,043 and $ 5,392, respectively. RSUs vest over a period of between one year to four years, subject to the continued employment of the employee. RSUs that are cancelled or forfeited become available for future grants.</w:t>
      </w:r>
    </w:p>
    <w:p>
      <w:pPr>
        <w:pStyle w:val="TextBody"/>
        <w:bidi w:val="0"/>
        <w:spacing w:before="0" w:after="0"/>
        <w:ind w:left="170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870"/>
        <w:gridCol w:w="9122"/>
      </w:tblGrid>
      <w:tr>
        <w:trPr/>
        <w:tc>
          <w:tcPr>
            <w:tcW w:w="21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1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 placements: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the Company entered into a definitive securities purchase agreement for a private placement financing, led by financial institutions and investment banking firms. Under the securities purchase agreement, the investors purchased 5,000,000 of the Company’s Ordinary shares at a purchase price of $8 per share. In addition, 1,249,995 Ordinary shares were issued in consideration for the extinguishment of debt owed to Lynrock, in the amount of $8,590. The proceeds to the Company amounted to $37,691, net of issuance cost.</w:t>
      </w:r>
    </w:p>
    <w:p>
      <w:pPr>
        <w:pStyle w:val="TextBody"/>
        <w:bidi w:val="0"/>
        <w:spacing w:before="0" w:after="0"/>
        <w:ind w:left="1701"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Repurchase Program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23, 2026, the Company was authorized to purchase up to $40 million of the Company’s common stock under a share repurchase program (the “Program”). The Program does not obligate the Company to acquire any specific number of shares. Under the Program, shares may be repurchased in privately negotiated and/or open market transactions, including under plans complying with Rule 10b5-1 under the Securities Exchange Act of 1934, as amended (the “Exchange Act”).</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- 16</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TAXES ON INCOME</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tax provision and estimates of its annual effective tax rate are subject to variation due to several factors, including variability in pre-tax income (or loss), the mix of jurisdictions to which such income relates, tax law developments, non-deductible expenses, excess tax benefits from share-based compensation awards, and changes in its valuation allowance. Income tax expenses were $ 872 and $ 628 for the six months ended June 30, 2026 and 2025, respectively.</w:t>
      </w:r>
    </w:p>
    <w:p>
      <w:pPr>
        <w:pStyle w:val="TextBody"/>
        <w:bidi w:val="0"/>
        <w:spacing w:before="0" w:after="0"/>
        <w:ind w:left="0" w:right="0" w:hanging="0"/>
        <w:jc w:val="left"/>
        <w:rPr/>
      </w:pPr>
      <w:r>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GEOGRAPHIC AND SEGMENT INFORMATION</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identifies operating segments in accordance with ASC Topic 280, “Segment Reporting” as components of an entity for which discrete financial information is available and is regularly reviewed by the chief operating decision maker (“CODM”), or decision-making group, in making decisions regarding resource allocation and evaluating financial performance. Our Chief Executive Officer is our chief operating decision maker who evaluates performance and makes operating decisions about allocating resources based on consolidated financial data. Our CODM uses consolidated net income to measure segment profit or loss, to allocate resources and assess performance. Further, the CODM reviews and utilizes functional expenses (cost of revenues, sales and marketing, research and development, and general and administrative) at the consolidated level to manage the Company’s operations, evaluate return on total assets in deciding whether to invest in the development and expansion of our consolidated operations or into strategic transactions, such as acquisitions and capital repurchases. The Company’s CODM does not regularly review asset information and, therefore, the Company does not report asset information.</w:t>
      </w:r>
    </w:p>
    <w:p>
      <w:pPr>
        <w:pStyle w:val="TextBody"/>
        <w:bidi w:val="0"/>
        <w:spacing w:before="0" w:after="0"/>
        <w:ind w:left="1134" w:right="0" w:hanging="0"/>
        <w:jc w:val="left"/>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 operates in a single reportable segment. Revenues are based on the location of the Company's channel partners which are considered as end customers, as well as direct customers of the Company:</w:t>
      </w:r>
    </w:p>
    <w:p>
      <w:pPr>
        <w:pStyle w:val="TextBody"/>
        <w:bidi w:val="0"/>
        <w:spacing w:before="0" w:after="0"/>
        <w:ind w:left="1134" w:right="0" w:hanging="0"/>
        <w:jc w:val="both"/>
        <w:rPr>
          <w:caps w:val="false"/>
          <w:smallCaps w:val="false"/>
        </w:rPr>
      </w:pPr>
      <w:r>
        <w:rPr>
          <w:caps w:val="false"/>
          <w:smallCaps w:val="false"/>
        </w:rPr>
        <w:t> </w:t>
      </w:r>
    </w:p>
    <w:tbl>
      <w:tblPr>
        <w:tblW w:w="5107" w:type="dxa"/>
        <w:jc w:val="left"/>
        <w:tblInd w:w="1134" w:type="dxa"/>
        <w:tblLayout w:type="fixed"/>
        <w:tblCellMar>
          <w:top w:w="0" w:type="dxa"/>
          <w:left w:w="0" w:type="dxa"/>
          <w:bottom w:w="0" w:type="dxa"/>
          <w:right w:w="0" w:type="dxa"/>
        </w:tblCellMar>
      </w:tblPr>
      <w:tblGrid>
        <w:gridCol w:w="2240"/>
        <w:gridCol w:w="60"/>
        <w:gridCol w:w="217"/>
        <w:gridCol w:w="1056"/>
        <w:gridCol w:w="93"/>
        <w:gridCol w:w="93"/>
        <w:gridCol w:w="217"/>
        <w:gridCol w:w="1056"/>
        <w:gridCol w:w="75"/>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70"/>
              <w:jc w:val="left"/>
              <w:rPr/>
            </w:pPr>
            <w:r>
              <w:rPr/>
              <w:t> </w:t>
            </w:r>
          </w:p>
        </w:tc>
      </w:tr>
      <w:tr>
        <w:trPr/>
        <w:tc>
          <w:tcPr>
            <w:tcW w:w="2240" w:type="dxa"/>
            <w:tcBorders/>
            <w:shd w:fill="CCEEFF" w:val="clear"/>
            <w:vAlign w:val="center"/>
          </w:tcPr>
          <w:p>
            <w:pPr>
              <w:pStyle w:val="TableContents"/>
              <w:bidi w:val="0"/>
              <w:spacing w:before="0" w:after="283"/>
              <w:jc w:val="left"/>
              <w:rPr/>
            </w:pPr>
            <w:r>
              <w:rPr/>
              <w:t>Europe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19,995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24,391</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2240" w:type="dxa"/>
            <w:tcBorders/>
            <w:vAlign w:val="center"/>
          </w:tcPr>
          <w:p>
            <w:pPr>
              <w:pStyle w:val="TableContents"/>
              <w:bidi w:val="0"/>
              <w:spacing w:before="0" w:after="283"/>
              <w:jc w:val="left"/>
              <w:rPr/>
            </w:pPr>
            <w:r>
              <w:rPr/>
              <w:t>Asia and Oceania</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11,780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7,865</w:t>
            </w:r>
          </w:p>
        </w:tc>
        <w:tc>
          <w:tcPr>
            <w:tcW w:w="75" w:type="dxa"/>
            <w:tcBorders/>
            <w:vAlign w:val="center"/>
          </w:tcPr>
          <w:p>
            <w:pPr>
              <w:pStyle w:val="TableContents"/>
              <w:bidi w:val="0"/>
              <w:spacing w:before="0" w:after="283"/>
              <w:ind w:left="0" w:right="0" w:hanging="170"/>
              <w:jc w:val="left"/>
              <w:rPr/>
            </w:pPr>
            <w:r>
              <w:rPr/>
              <w:t> </w:t>
            </w:r>
          </w:p>
        </w:tc>
      </w:tr>
      <w:tr>
        <w:trPr/>
        <w:tc>
          <w:tcPr>
            <w:tcW w:w="2240"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12,301</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6,760</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2240" w:type="dxa"/>
            <w:tcBorders/>
            <w:vAlign w:val="center"/>
          </w:tcPr>
          <w:p>
            <w:pPr>
              <w:pStyle w:val="TableContents"/>
              <w:bidi w:val="0"/>
              <w:spacing w:before="0" w:after="283"/>
              <w:jc w:val="left"/>
              <w:rPr/>
            </w:pPr>
            <w:r>
              <w:rPr/>
              <w:t>Middle East and Africa</w:t>
            </w:r>
          </w:p>
        </w:tc>
        <w:tc>
          <w:tcPr>
            <w:tcW w:w="60"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10,086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8,185</w:t>
            </w:r>
          </w:p>
        </w:tc>
        <w:tc>
          <w:tcPr>
            <w:tcW w:w="75" w:type="dxa"/>
            <w:tcBorders/>
            <w:vAlign w:val="center"/>
          </w:tcPr>
          <w:p>
            <w:pPr>
              <w:pStyle w:val="TableContents"/>
              <w:bidi w:val="0"/>
              <w:spacing w:before="0" w:after="283"/>
              <w:ind w:left="0" w:right="0" w:hanging="170"/>
              <w:jc w:val="left"/>
              <w:rPr/>
            </w:pPr>
            <w:r>
              <w:rPr/>
              <w:t> </w:t>
            </w:r>
          </w:p>
        </w:tc>
      </w:tr>
      <w:tr>
        <w:trPr/>
        <w:tc>
          <w:tcPr>
            <w:tcW w:w="2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bottom w:val="double" w:sz="6" w:space="0" w:color="000000"/>
            </w:tcBorders>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tcMar>
              <w:bottom w:w="28" w:type="dxa"/>
            </w:tcMar>
            <w:vAlign w:val="center"/>
          </w:tcPr>
          <w:p>
            <w:pPr>
              <w:pStyle w:val="TableContents"/>
              <w:bidi w:val="0"/>
              <w:spacing w:before="0" w:after="283"/>
              <w:jc w:val="right"/>
              <w:rPr/>
            </w:pPr>
            <w:r>
              <w:rPr/>
              <w:t>54,162</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17" w:type="dxa"/>
            <w:tcBorders>
              <w:bottom w:val="double" w:sz="6" w:space="0" w:color="000000"/>
            </w:tcBorders>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tcMar>
              <w:bottom w:w="28" w:type="dxa"/>
            </w:tcMar>
            <w:vAlign w:val="center"/>
          </w:tcPr>
          <w:p>
            <w:pPr>
              <w:pStyle w:val="TableContents"/>
              <w:bidi w:val="0"/>
              <w:spacing w:before="0" w:after="283"/>
              <w:jc w:val="right"/>
              <w:rPr/>
            </w:pPr>
            <w:r>
              <w:rPr/>
              <w:t>47,201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total long-lived assets, including property, plant and equipment and right-of-use assets, as of June 30, 2026, and December 31, 2025:</w:t>
      </w:r>
    </w:p>
    <w:p>
      <w:pPr>
        <w:pStyle w:val="TextBody"/>
        <w:bidi w:val="0"/>
        <w:spacing w:before="0" w:after="0"/>
        <w:ind w:left="1701" w:right="0" w:hanging="567"/>
        <w:jc w:val="both"/>
        <w:rPr>
          <w:caps w:val="false"/>
          <w:smallCaps w:val="false"/>
        </w:rPr>
      </w:pPr>
      <w:r>
        <w:rPr>
          <w:caps w:val="false"/>
          <w:smallCaps w:val="false"/>
        </w:rPr>
        <w:t> </w:t>
      </w:r>
    </w:p>
    <w:tbl>
      <w:tblPr>
        <w:tblW w:w="3118" w:type="dxa"/>
        <w:jc w:val="left"/>
        <w:tblInd w:w="1134" w:type="dxa"/>
        <w:tblLayout w:type="fixed"/>
        <w:tblCellMar>
          <w:top w:w="0" w:type="dxa"/>
          <w:left w:w="0" w:type="dxa"/>
          <w:bottom w:w="0" w:type="dxa"/>
          <w:right w:w="0" w:type="dxa"/>
        </w:tblCellMar>
      </w:tblPr>
      <w:tblGrid>
        <w:gridCol w:w="575"/>
        <w:gridCol w:w="60"/>
        <w:gridCol w:w="149"/>
        <w:gridCol w:w="725"/>
        <w:gridCol w:w="60"/>
        <w:gridCol w:w="60"/>
        <w:gridCol w:w="241"/>
        <w:gridCol w:w="1173"/>
        <w:gridCol w:w="75"/>
      </w:tblGrid>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pPr>
            <w:r>
              <w:rPr/>
              <w:t>Israel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11,516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10,978</w:t>
            </w:r>
          </w:p>
        </w:tc>
        <w:tc>
          <w:tcPr>
            <w:tcW w:w="75"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49"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right"/>
              <w:rPr/>
            </w:pPr>
            <w:r>
              <w:rPr/>
              <w:t>351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bottom w:val="single" w:sz="8" w:space="0" w:color="000000"/>
            </w:tcBorders>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tcMar>
              <w:bottom w:w="28" w:type="dxa"/>
            </w:tcMar>
            <w:vAlign w:val="center"/>
          </w:tcPr>
          <w:p>
            <w:pPr>
              <w:pStyle w:val="TableContents"/>
              <w:bidi w:val="0"/>
              <w:spacing w:before="0" w:after="283"/>
              <w:jc w:val="right"/>
              <w:rPr/>
            </w:pPr>
            <w:r>
              <w:rPr/>
              <w:t>554</w:t>
            </w:r>
          </w:p>
        </w:tc>
        <w:tc>
          <w:tcPr>
            <w:tcW w:w="75"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pPr>
            <w:r>
              <w:rPr/>
              <w:t>11,867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11,532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- 17</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ALLOT LTD.</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200"/>
        <w:ind w:left="0" w:right="0" w:hanging="0"/>
        <w:jc w:val="left"/>
        <w:rPr/>
      </w:pPr>
      <w:r>
        <w:rPr>
          <w:rStyle w:val="StrongEmphasis"/>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 12: -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2022, the Company issued to Lynrock Lake Master Fund LP a senior unsecured promissory note in an aggregate principal amount of $40,000 (the “Note”). The Note is convertible into the company's ordinary shares atan initial conversion rate of 97.0874 ordinary shares per $1,000 of the principal amount being converted (based on an initial conversion price equal to $10.30 per ordinary share).</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was fully redeemed in June 2025 in connection with a public offering of the Company’s ordinary shares. As a result, the Company recognized a loss from extinguishment in the amount of $1,410.</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- 18</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9" w:name="exhibit_99-2.htm"/>
      <w:bookmarkStart w:id="10" w:name="ksexhibit_992"/>
      <w:bookmarkEnd w:id="9"/>
      <w:bookmarkEnd w:id="10"/>
      <w:r>
        <w:rPr>
          <w:bdr w:val="single" w:sz="16" w:space="1" w:color="000000"/>
        </w:rPr>
        <w:t> </w:t>
      </w:r>
      <w:r>
        <w:br w:type="page"/>
      </w:r>
    </w:p>
    <w:p>
      <w:pPr>
        <w:pStyle w:val="TextBody"/>
        <w:bidi w:val="0"/>
        <w:jc w:val="right"/>
        <w:rPr>
          <w:b/>
          <w:u w:val="single"/>
        </w:rPr>
      </w:pPr>
      <w:r>
        <w:rPr>
          <w:b/>
          <w:u w:val="single"/>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w:t>
        <w:b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operating and financial review and prospects provides information that we believe to be relevant to an assessment and understanding of our results of operations and financial condition for the period described. This discussion should be read in conjunction with our consolidated interim financial statements and the notes to the financial statements for the six months ended June 30, 2026, furnished with our Report of Foreign Private Issuer on Form 6-K. In addition, this information should also be read in conjunction with the information contained in our Annual Report on Form 20-F for the year ended December 31, 2025, filed with the Securities and Exchange Commission (the “SEC”) on March 26, 2026 (our “Annual Report” as amended by Amendment No. 1 to our Annual Report on Form 20-F filed with the SEC on March 31, 2026, which comparative information is herein incorporated by reference), including the consolidated annual financial statements as of December 31, 2025 and their accompanying notes included therein and “Item 5. Operating and Financial Review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financial statements have been prepared in accordance with U.S. generally accepted accounting principles (“U.S. GAAP”). This discussion contains forward-looking statements that are subject to known and unknown risks and uncertainties including, but not limited to our statements regarding future revenues and revenue mix, our plans to invest in research and development, and our potential pursuit of acquisitions and investments opportunities or additional equity or debt financing. As a result of many factors, such as those set forth under “ITEM 3.D: Risk Factors” and “Cautionary Note Regarding Forward-Looking Statements” of our Annual Report, our actual results may differ materially from those anticipated in these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provider of innovative network intelligence and security solutions that enable service providers and enterprises to protect and personalize the digital experience and monetize on their networks. Our flexible and highly scalable service delivery framework leverages the intelligence in data networks, enabling service providers to get closer to their customers, safeguard network assets and users, and accelerate time-to-revenue for value-added services. Our customers use our solutions to create sophisticated policies to monitor network applications, enforce quality of service policies that guarantee mission-critical application performance, mitigate security risks and leverage network infrastructure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We market and sell our products through a variety of channels, including direct sales and through our channel partners, which include distributors, resellers, OEMs and system integrators. We have a diversified end-customer base consisting primarily of service providers, enterprises, government and law enforcement entities. The resulting intelligent, content-aware broadband networks enable our customers to accurately monitor and manage network traffic per application, subscriber, network topology and device.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two sources: (1) sales of our network traffic management systems, our network management application solutions and platforms, and our security solution to telecom providers and (2) the provision of maintenance and support services and professional services, including installation and training. We generally provide maintenance and support services pursuant to a maintenance and support program, which may be purchased by customers at the time of product purchase or on a renewal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under the core principle that transfer of control of our products or services to our customers should be reflected by an amount that represents the consideration we expect to receive in revenue. As such, we identify a contract with a customer, identify the performance obligations in the contract, determine the transaction price, allocate the transaction price to each performance obligation in the contract and recognize revenues when (or as) we satisfy each performance obligation. Apart from our Security-as-a-Service deals, we typically grant a one-year hardware and three-month software warranty on all of our products, or one-year hardware and software warranty to customers that purchase annual maintenance and support. As part of our Security-as-a-Service offering, the maintenance and support services are inherent to the security service fee. Typically, our support contracts with our customers provide hot line support, warranty, and software updates and upgrades if and when available. We record a provision for warranty at the time the product’s revenue is recognized. We estimate the liability of possible warranty claims based on our historical experience. Warranty claims to date have been immaterial to our results of operations. Maintenance and support revenues are recognized on a straight-line basis over the term of the applicable maintenance and support agreement.</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Period to Period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in dollars and as a percentage of revenues for the periods indicated:</w:t>
      </w:r>
    </w:p>
    <w:p>
      <w:pPr>
        <w:pStyle w:val="TextBody"/>
        <w:bidi w:val="0"/>
        <w:spacing w:before="0" w:after="0"/>
        <w:ind w:left="0" w:right="0" w:hanging="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4"/>
        <w:gridCol w:w="60"/>
        <w:gridCol w:w="85"/>
        <w:gridCol w:w="970"/>
        <w:gridCol w:w="85"/>
        <w:gridCol w:w="85"/>
        <w:gridCol w:w="85"/>
        <w:gridCol w:w="970"/>
        <w:gridCol w:w="111"/>
      </w:tblGrid>
      <w:tr>
        <w:trPr/>
        <w:tc>
          <w:tcPr>
            <w:tcW w:w="7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1" w:type="dxa"/>
            <w:tcBorders/>
            <w:vAlign w:val="center"/>
          </w:tcPr>
          <w:p>
            <w:pPr>
              <w:pStyle w:val="TableContents"/>
              <w:bidi w:val="0"/>
              <w:spacing w:before="0" w:after="283"/>
              <w:jc w:val="left"/>
              <w:rPr/>
            </w:pPr>
            <w:r>
              <w:rPr/>
              <w:t> </w:t>
            </w:r>
          </w:p>
        </w:tc>
      </w:tr>
      <w:tr>
        <w:trPr/>
        <w:tc>
          <w:tcPr>
            <w:tcW w:w="7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center"/>
          </w:tcPr>
          <w:p>
            <w:pPr>
              <w:pStyle w:val="TableContents"/>
              <w:bidi w:val="0"/>
              <w:spacing w:before="0" w:after="283"/>
              <w:jc w:val="center"/>
              <w:rPr/>
            </w:pPr>
            <w:r>
              <w:rPr/>
              <w:t>(In USD thousands)</w:t>
            </w:r>
          </w:p>
        </w:tc>
        <w:tc>
          <w:tcPr>
            <w:tcW w:w="111" w:type="dxa"/>
            <w:tcBorders/>
            <w:vAlign w:val="center"/>
          </w:tcPr>
          <w:p>
            <w:pPr>
              <w:pStyle w:val="TableContents"/>
              <w:bidi w:val="0"/>
              <w:spacing w:before="0" w:after="283"/>
              <w:jc w:val="left"/>
              <w:rPr/>
            </w:pPr>
            <w:r>
              <w:rPr/>
              <w:t> </w:t>
            </w:r>
          </w:p>
        </w:tc>
      </w:tr>
      <w:tr>
        <w:trPr/>
        <w:tc>
          <w:tcPr>
            <w:tcW w:w="7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754"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7"/>
              <w:jc w:val="left"/>
              <w:rPr/>
            </w:pPr>
            <w:r>
              <w:rPr/>
              <w:t> </w:t>
            </w:r>
          </w:p>
        </w:tc>
      </w:tr>
      <w:tr>
        <w:trPr/>
        <w:tc>
          <w:tcPr>
            <w:tcW w:w="7754"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14,176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14,040</w:t>
            </w:r>
          </w:p>
        </w:tc>
        <w:tc>
          <w:tcPr>
            <w:tcW w:w="111" w:type="dxa"/>
            <w:tcBorders/>
            <w:shd w:fill="CCEEFF" w:val="clear"/>
            <w:vAlign w:val="center"/>
          </w:tcPr>
          <w:p>
            <w:pPr>
              <w:pStyle w:val="TableContents"/>
              <w:bidi w:val="0"/>
              <w:spacing w:before="0" w:after="283"/>
              <w:ind w:left="0" w:right="0" w:hanging="7"/>
              <w:jc w:val="left"/>
              <w:rPr/>
            </w:pPr>
            <w:r>
              <w:rPr/>
              <w:t> </w:t>
            </w:r>
          </w:p>
        </w:tc>
      </w:tr>
      <w:tr>
        <w:trPr/>
        <w:tc>
          <w:tcPr>
            <w:tcW w:w="7754"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39,986</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33,161</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u w:val="single"/>
              </w:rPr>
            </w:pPr>
            <w:r>
              <w:rPr>
                <w:u w:val="single"/>
              </w:rPr>
              <w:t>Total revenues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54,162</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47,201</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7"/>
              <w:jc w:val="left"/>
              <w:rPr/>
            </w:pPr>
            <w:r>
              <w:rPr/>
              <w:t> </w:t>
            </w:r>
          </w:p>
        </w:tc>
      </w:tr>
      <w:tr>
        <w:trPr/>
        <w:tc>
          <w:tcPr>
            <w:tcW w:w="7754"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6,336</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6,136</w:t>
            </w:r>
          </w:p>
        </w:tc>
        <w:tc>
          <w:tcPr>
            <w:tcW w:w="111" w:type="dxa"/>
            <w:tcBorders/>
            <w:shd w:fill="FFFFFF" w:val="clear"/>
            <w:vAlign w:val="center"/>
          </w:tcPr>
          <w:p>
            <w:pPr>
              <w:pStyle w:val="TableContents"/>
              <w:bidi w:val="0"/>
              <w:spacing w:before="0" w:after="283"/>
              <w:ind w:left="0" w:right="0" w:hanging="7"/>
              <w:jc w:val="left"/>
              <w:rPr/>
            </w:pPr>
            <w:r>
              <w:rPr/>
              <w:t> </w:t>
            </w:r>
          </w:p>
        </w:tc>
      </w:tr>
      <w:tr>
        <w:trPr/>
        <w:tc>
          <w:tcPr>
            <w:tcW w:w="7754"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9,316</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7,687</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u w:val="single"/>
              </w:rPr>
            </w:pPr>
            <w:r>
              <w:rPr>
                <w:u w:val="single"/>
              </w:rPr>
              <w:t>Total cost of revenues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15,652</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13,823</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38,510</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33,378</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pPr>
            <w:r>
              <w:rPr/>
              <w:t>Research and development (net of grant participations of $48and  $68 for the six months ended June 30, 2026, and 2025, respectively)</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13,273</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13,252</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15,865</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14,599</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6,745</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6,643</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u w:val="single"/>
              </w:rPr>
            </w:pPr>
            <w:r>
              <w:rPr>
                <w:u w:val="single"/>
              </w:rPr>
              <w:t>Total operating expenses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35,883</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34,494</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Operating income (loss)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2,627</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(1,116</w:t>
            </w:r>
          </w:p>
        </w:tc>
        <w:tc>
          <w:tcPr>
            <w:tcW w:w="111" w:type="dxa"/>
            <w:tcBorders/>
            <w:shd w:fill="FFFFFF" w:val="clear"/>
            <w:vAlign w:val="center"/>
          </w:tcPr>
          <w:p>
            <w:pPr>
              <w:pStyle w:val="TableContents"/>
              <w:bidi w:val="0"/>
              <w:spacing w:before="0" w:after="283"/>
              <w:ind w:left="0" w:right="0" w:hanging="170"/>
              <w:jc w:val="left"/>
              <w:rPr/>
            </w:pPr>
            <w:r>
              <w:rPr/>
              <w:t>)</w:t>
            </w:r>
          </w:p>
        </w:tc>
      </w:tr>
      <w:tr>
        <w:trPr/>
        <w:tc>
          <w:tcPr>
            <w:tcW w:w="7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Loss from extinguishment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(1,410</w:t>
            </w:r>
          </w:p>
        </w:tc>
        <w:tc>
          <w:tcPr>
            <w:tcW w:w="111" w:type="dxa"/>
            <w:tcBorders/>
            <w:shd w:fill="FFFFFF" w:val="clear"/>
            <w:vAlign w:val="center"/>
          </w:tcPr>
          <w:p>
            <w:pPr>
              <w:pStyle w:val="TableContents"/>
              <w:bidi w:val="0"/>
              <w:spacing w:before="0" w:after="283"/>
              <w:ind w:left="0" w:right="0" w:hanging="170"/>
              <w:jc w:val="left"/>
              <w:rPr/>
            </w:pPr>
            <w:r>
              <w:rPr/>
              <w:t>)</w:t>
            </w:r>
          </w:p>
        </w:tc>
      </w:tr>
      <w:tr>
        <w:trPr/>
        <w:tc>
          <w:tcPr>
            <w:tcW w:w="7754"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100</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2,760</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1,033</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Income (loss) before income tax expense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5,387</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(1,393</w:t>
            </w:r>
          </w:p>
        </w:tc>
        <w:tc>
          <w:tcPr>
            <w:tcW w:w="111" w:type="dxa"/>
            <w:tcBorders/>
            <w:shd w:fill="FFFFFF" w:val="clear"/>
            <w:vAlign w:val="center"/>
          </w:tcPr>
          <w:p>
            <w:pPr>
              <w:pStyle w:val="TableContents"/>
              <w:bidi w:val="0"/>
              <w:spacing w:before="0" w:after="283"/>
              <w:ind w:left="0" w:right="0" w:hanging="170"/>
              <w:jc w:val="left"/>
              <w:rPr/>
            </w:pPr>
            <w:r>
              <w:rPr/>
              <w:t>)</w:t>
            </w:r>
          </w:p>
        </w:tc>
      </w:tr>
      <w:tr>
        <w:trPr/>
        <w:tc>
          <w:tcPr>
            <w:tcW w:w="7754"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872</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628</w:t>
            </w:r>
          </w:p>
        </w:tc>
        <w:tc>
          <w:tcPr>
            <w:tcW w:w="111" w:type="dxa"/>
            <w:tcBorders/>
            <w:shd w:fill="CCEEFF" w:val="clear"/>
            <w:vAlign w:val="center"/>
          </w:tcPr>
          <w:p>
            <w:pPr>
              <w:pStyle w:val="TableContents"/>
              <w:bidi w:val="0"/>
              <w:spacing w:before="0" w:after="283"/>
              <w:ind w:left="0" w:right="0" w:hanging="170"/>
              <w:jc w:val="left"/>
              <w:rPr/>
            </w:pPr>
            <w:r>
              <w:rPr/>
              <w:t> </w:t>
            </w:r>
          </w:p>
        </w:tc>
      </w:tr>
      <w:tr>
        <w:trPr/>
        <w:tc>
          <w:tcPr>
            <w:tcW w:w="7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70"/>
              <w:jc w:val="left"/>
              <w:rPr/>
            </w:pPr>
            <w:r>
              <w:rPr/>
              <w:t> </w:t>
            </w:r>
          </w:p>
        </w:tc>
      </w:tr>
      <w:tr>
        <w:trPr/>
        <w:tc>
          <w:tcPr>
            <w:tcW w:w="775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pPr>
            <w:r>
              <w:rPr/>
              <w:t>4,515</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pPr>
            <w:r>
              <w:rPr/>
              <w:t>(2,021</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Products.</w:t>
      </w:r>
      <w:r>
        <w:rPr>
          <w:rFonts w:ascii="Times New Roman;Times;Serif" w:hAnsi="Times New Roman;Times;Serif"/>
          <w:b w:val="false"/>
          <w:i w:val="false"/>
          <w:caps w:val="false"/>
          <w:smallCaps w:val="false"/>
          <w:sz w:val="20"/>
        </w:rPr>
        <w:t xml:space="preserve"> Product revenues increased by $0.2 million, or approximately 1%, to $14.2 million in the six months ended June 30, 2026, from $14 million in the six months ended June 30, 2025. The slight increase in product revenues is primarily attributable to the timing of AllotSmart projects deployments.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Services</w:t>
      </w:r>
      <w:r>
        <w:rPr>
          <w:rFonts w:ascii="Times New Roman;Times;Serif" w:hAnsi="Times New Roman;Times;Serif"/>
          <w:b w:val="false"/>
          <w:i w:val="false"/>
          <w:caps w:val="false"/>
          <w:smallCaps w:val="false"/>
          <w:sz w:val="20"/>
        </w:rPr>
        <w:t>. Service revenue includes revenues from professional services, SECaaS and support and maintenance. Service revenues increased by $6.8 million, or 20.5%, to $40 million in the six months ended June 30, 2026, from $33.2 million in the six months ended June 30, 2025. The increase in service revenues is primarily attributable to growth in SECaaS revenue, reflecting expansion of the subscriber base and higher recurring service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revenues comprised 26.2% of our total revenues in the six months ended June 30, 2026, a decrease of 3.5% compared to the six months ended June 30, 2025, while the services revenues portion of total revenues comprised 73.8% of our total revenues in the six months ended June 30, 2026, an increase of 3.5% compared to the six months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Geographic Breakdown</w:t>
      </w:r>
      <w:r>
        <w:rPr>
          <w:rFonts w:ascii="Times New Roman;Times;Serif" w:hAnsi="Times New Roman;Times;Serif"/>
          <w:b w:val="false"/>
          <w:i w:val="false"/>
          <w:caps w:val="false"/>
          <w:smallCaps w:val="false"/>
          <w:sz w:val="20"/>
        </w:rPr>
        <w:t>. During the six months ended June 30, 2026, Revenues in the Americas increased by $5.5 million, or 80.9%, to $12.3 million, compared to $6.8 million in the six months ended June 30, 2025. The increase was primarily driven by higher SECaaS revenues and growth in recurring service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in Europe, the Middle East and Africa (EMEA) decreased by $2.5 million, or 7.7%, to $30.1 million, compared to $32.6 million in the six months ended June 30, 2025. This decrease primarily relates to timing of AllotSmart project completion in the region during the current period. Revenues in Asia Pacific increased by $3.9 million, or 49.4%, to $11.8 million, compared to $7.9 million in the six months ended June 30, 2025. The increase was primarily driven by growth in recurring service revenue from existing customer deployments.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cost of revenues consists primarily of costs of materials and manufacturing services, overhead, warehousing and product testing. Our services’ cost of revenues consists primarily of salaries and related personnel costs for our customer success staff.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Products</w:t>
      </w:r>
      <w:r>
        <w:rPr>
          <w:rFonts w:ascii="Times New Roman;Times;Serif" w:hAnsi="Times New Roman;Times;Serif"/>
          <w:b w:val="false"/>
          <w:i w:val="false"/>
          <w:caps w:val="false"/>
          <w:smallCaps w:val="false"/>
          <w:sz w:val="20"/>
        </w:rPr>
        <w:t>. Cost of product revenues increased by $0.2 million, or 3.3%, to $6.3 million in the six months ended June 30, 2026 from $6.1 million in the six months ended June 30, 2025. The increase was primarily attributable to changes in product mix and higher product-related costs. Product gross margin decreased to 55.6% in the six months ended June 30, 2026 from 56.4% in the six months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Services</w:t>
      </w:r>
      <w:r>
        <w:rPr>
          <w:rFonts w:ascii="Times New Roman;Times;Serif" w:hAnsi="Times New Roman;Times;Serif"/>
          <w:b w:val="false"/>
          <w:i w:val="false"/>
          <w:caps w:val="false"/>
          <w:smallCaps w:val="false"/>
          <w:sz w:val="20"/>
        </w:rPr>
        <w:t>. Cost of services revenues increased by $1.6 million, or 20.8%, to $9.3 million in the six months ended June 30, 2026 from $7.7 million in the six months ended June 30, 2025. This increase is primarily attributable to the overall growth in service revenues, including increased SECaaS activity and related service delivery costs. Service gross margin was 76.8% for each six months ended June 30, 2026 and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margin for the six months ended June 30, 2026 increased to 71.2%, compared to 70.8% for the six months ended June 30, 2025. The increase in gross margin is attributable to changes in our mix of services and products due to increase in SECaaS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w:t>
      </w:r>
      <w:r>
        <w:rPr>
          <w:rFonts w:ascii="Times New Roman;Times;Serif" w:hAnsi="Times New Roman;Times;Serif"/>
          <w:b w:val="false"/>
          <w:i w:val="false"/>
          <w:caps w:val="false"/>
          <w:smallCaps w:val="false"/>
          <w:sz w:val="20"/>
        </w:rPr>
        <w:t>Our research and development expenses consist primarily of salaries and related personnel costs, costs for subcontractor services, depreciation, rent and costs of materials consumed in connection with the design and development of our products. We expense all of our research and development costs as they are incurred. Our net research and development expenses are comprised of gross research and development expenses offset by financing through grants from the Israel Innovation Authority and Spain Tax Authority. Such participation grants are recognized at the time at which we are entitled to such grants on the basis of the costs incurred and included as a deduction of research and development expenses. We believe that significant investment in research and development, including hiring high quality research and development personnel, is essential to our future success.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research and development expenses were $13.3 million, for each six months ended June 30, 2026 and 2025. Net research and development expenses as a percentage of total revenues decreased to 24.5% in the six months ended June 30, 2026 from 28.2% in the six months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and marketing. </w:t>
      </w:r>
      <w:r>
        <w:rPr>
          <w:rFonts w:ascii="Times New Roman;Times;Serif" w:hAnsi="Times New Roman;Times;Serif"/>
          <w:b w:val="false"/>
          <w:i w:val="false"/>
          <w:caps w:val="false"/>
          <w:smallCaps w:val="false"/>
          <w:sz w:val="20"/>
        </w:rPr>
        <w:t>Our sales and marketing expenses consist primarily of salaries and related personnel costs, travel expenses, costs associated with promotional activities such as public relations, conventions and exhibitions, rental expenses, depreciation and commissions paid to third parties, promote our brand, establish new marketing channels and expand our presence worldwide.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$1.3 million, or 8.9%, to $15.9 million in the six months ended June 30, 2026 from $14.6 million in the six months ended June 30, 2025. The increase is primarily attributable to higher employee-related costs due to increase in headcount associated with revenue growth. Sales and marketing expenses as a percentage of total revenues decreased to 29.3% in the six months ended June 30, 2026 from 30.9% in the six months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w:t>
      </w:r>
      <w:r>
        <w:rPr>
          <w:rFonts w:ascii="Times New Roman;Times;Serif" w:hAnsi="Times New Roman;Times;Serif"/>
          <w:b w:val="false"/>
          <w:i w:val="false"/>
          <w:caps w:val="false"/>
          <w:smallCaps w:val="false"/>
          <w:sz w:val="20"/>
        </w:rPr>
        <w:t>. Our general and administrative expenses consist of salaries and related personnel costs, rental expenses, costs for professional services, credit loss expenses and depreciation. General and administrative expenses also include costs associated with corporate governance, VAT and other tax expenses and regulatory compliance, compliance with the rules implemented by the SEC, the Nasdaq Stock Market and the Tel Aviv Stock Exchange and premiums for our director and officer liability insurance.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$0.1 million, or 1.5%, to $6.7 million in the six months ended June 30, 2026, from $6.6 million in the six months ended June 30, 2025. The General and administrative expenses remained substantially consistent with the prior-year period. General and administrative expenses as a percentage of total revenues decreased to 12.4% in the six months ended June 30, 2026 from 14.0% in the six months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 net.</w:t>
      </w:r>
      <w:r>
        <w:rPr>
          <w:rFonts w:ascii="Times New Roman;Times;Serif" w:hAnsi="Times New Roman;Times;Serif"/>
          <w:b w:val="false"/>
          <w:i w:val="false"/>
          <w:caps w:val="false"/>
          <w:smallCaps w:val="false"/>
          <w:sz w:val="20"/>
        </w:rPr>
        <w:t> In the six months ended June 30, 2026, we had $2.8 million Financial income, net. In the six months ended June 30, 2025, we had $1.0 million Financial income, net. The increase was primarily attributable to income recognized from a lease modification, together with exchange 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tax expense</w:t>
      </w:r>
      <w:r>
        <w:rPr>
          <w:rFonts w:ascii="Times New Roman;Times;Serif" w:hAnsi="Times New Roman;Times;Serif"/>
          <w:b w:val="false"/>
          <w:i w:val="false"/>
          <w:caps w:val="false"/>
          <w:smallCaps w:val="false"/>
          <w:sz w:val="20"/>
        </w:rPr>
        <w:t>.  In the six months ended June 30, 2026, we had $0.9 million income tax expense. In the six months ended June 30, 2025, we had $0.6 million income tax expense. The change in 2026 was mainly attributed to withholding tax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$13.8 million in cash and cash equivalents, $57.3 million in available for sale marketable securities, $31.1 million in short-term bank deposits, $3.6 million in short-term restricted deposits and $0.7 million in long-term restricted deposits. As of June 30, 2026, our working capital, which we calculate by subtracting our current liabilities from our current assets, was $88.0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business plan, we believe that our existing cash balances will be sufficient to meet our anticipated cash needs for working capital and capital expenditures for at least the next twelve months. If our estimates of revenues, expense or capital or liquidity requirements change or are inaccurate and are insufficient to satisfy our liquidity requirements, we may seek to sell additional equity or arrange additional debt financing. In addition, we may seek to sell additional equity or arrange debt financing to give us financial flexibility to pursue attractive acquisitions or investment opportunities that may arise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our Board of Directors authorized a share repurchase program to repurchase up to $40 million of our ordinary shares (the “Share Repurchase Program”). Repurchases under the Share Repurchase Program may be made from time to time at management’s discretion in the open market, in privately negotiated transactions, or otherwise, on the Tel Aviv Stock Exchange and Nasdaq, in compliance with applicable laws and regulations.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under this authorization.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repurchases will depend on market conditions, share price, liquidity, and other factors. The Share Repurchase Program does not have a fixed expiration date, does not obligate us to repurchase any specific amount of shares, and may be modified, suspended, or discontinued at any time. We intend to fund the program from existing cash resources.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activities. </w:t>
      </w:r>
      <w:r>
        <w:rPr>
          <w:rFonts w:ascii="Times New Roman;Times;Serif" w:hAnsi="Times New Roman;Times;Serif"/>
          <w:b w:val="false"/>
          <w:i w:val="false"/>
          <w:caps w:val="false"/>
          <w:smallCaps w:val="false"/>
          <w:sz w:val="20"/>
        </w:rPr>
        <w:t>Net cash provided by operating activities was $19.0 million for the six months ended June 30, 2026, compared with net cash used in operating activities of $5.7 million for the six months ended June 30, 2025. The change is primarily attributable to growth in deferred revenue and customer collections.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Investing activities</w:t>
      </w:r>
      <w:r>
        <w:rPr>
          <w:rFonts w:ascii="Times New Roman;Times;Serif" w:hAnsi="Times New Roman;Times;Serif"/>
          <w:b w:val="false"/>
          <w:i w:val="false"/>
          <w:caps w:val="false"/>
          <w:smallCaps w:val="false"/>
          <w:sz w:val="20"/>
        </w:rPr>
        <w:t>. Net cash used in investing activities was $22.4 million for the six months ended June 30, 2026, compared with net cash used in investing activities of $1.8 million for the six months ended June 30, 2025. The change is primarily attributable to the investment of excess cash in deposits and marketable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Financing activities. </w:t>
      </w:r>
      <w:r>
        <w:rPr>
          <w:rFonts w:ascii="Times New Roman;Times;Serif" w:hAnsi="Times New Roman;Times;Serif"/>
          <w:b w:val="false"/>
          <w:i w:val="false"/>
          <w:caps w:val="false"/>
          <w:smallCaps w:val="false"/>
          <w:sz w:val="20"/>
        </w:rPr>
        <w:t>There was no net cash provided by financing activities in the six months ended June 30, 2026, compared with $6.5 million of net cash provided by financing activities in the six months ended June 30, 2025. The change is primarily attributable to the issuance of share capital, offset by the redemption of convertible debt in the prior year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7967</Words>
  <Characters>44178</Characters>
  <CharactersWithSpaces>53613</CharactersWithSpaces>
  <Paragraphs>3706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