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78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784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3"/>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6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8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Zohar Nadav</w:t>
              </w:r>
            </w:hyperlink>
          </w:p>
        </w:tc>
        <w:tc>
          <w:tcPr>
            <w:tcW w:w="268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Allot Ltd.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ALLT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0" w:type="dxa"/>
            <w:vAlign w:val="bottom"/>
            <w:gridSpan w:val="2"/>
            <w:vMerge w:val="continu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Pr>
          <w:p>
            <w:pPr>
              <w:spacing w:after="0"/>
              <w:rPr>
                <w:sz w:val="5"/>
                <w:szCs w:val="5"/>
                <w:color w:val="auto"/>
              </w:rPr>
            </w:pPr>
          </w:p>
        </w:tc>
        <w:tc>
          <w:tcPr>
            <w:tcW w:w="3800" w:type="dxa"/>
            <w:vAlign w:val="bottom"/>
            <w:gridSpan w:val="2"/>
            <w:vMerge w:val="continue"/>
          </w:tcPr>
          <w:p>
            <w:pPr>
              <w:spacing w:after="0"/>
              <w:rPr>
                <w:sz w:val="5"/>
                <w:szCs w:val="5"/>
                <w:color w:val="auto"/>
              </w:rPr>
            </w:pPr>
          </w:p>
        </w:tc>
        <w:tc>
          <w:tcPr>
            <w:tcW w:w="2680" w:type="dxa"/>
            <w:vAlign w:val="bottom"/>
            <w:gridSpan w:val="2"/>
            <w:vMerge w:val="restart"/>
          </w:tcPr>
          <w:p>
            <w:pPr>
              <w:spacing w:after="0"/>
              <w:rPr>
                <w:sz w:val="20"/>
                <w:szCs w:val="20"/>
                <w:color w:val="auto"/>
              </w:rPr>
            </w:pPr>
            <w:r>
              <w:rPr>
                <w:rFonts w:ascii="Arial" w:cs="Arial" w:eastAsia="Arial" w:hAnsi="Arial"/>
                <w:sz w:val="13"/>
                <w:szCs w:val="13"/>
                <w:color w:val="auto"/>
              </w:rPr>
              <w:t>Foreign Trading Symbol</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1120" w:type="dxa"/>
            <w:vAlign w:val="bottom"/>
            <w:tcBorders>
              <w:top w:val="single" w:sz="8" w:color="0000EE"/>
            </w:tcBorders>
          </w:tcPr>
          <w:p>
            <w:pPr>
              <w:spacing w:after="0"/>
              <w:rPr>
                <w:sz w:val="8"/>
                <w:szCs w:val="8"/>
                <w:color w:val="auto"/>
              </w:rPr>
            </w:pPr>
          </w:p>
        </w:tc>
        <w:tc>
          <w:tcPr>
            <w:tcW w:w="2680" w:type="dxa"/>
            <w:vAlign w:val="bottom"/>
          </w:tcPr>
          <w:p>
            <w:pPr>
              <w:spacing w:after="0"/>
              <w:rPr>
                <w:sz w:val="8"/>
                <w:szCs w:val="8"/>
                <w:color w:val="auto"/>
              </w:rPr>
            </w:pPr>
          </w:p>
        </w:tc>
        <w:tc>
          <w:tcPr>
            <w:tcW w:w="2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sectPr>
          <w:pgSz w:w="11900" w:h="16838" w:orient="portrait"/>
          <w:cols w:equalWidth="0" w:num="2">
            <w:col w:w="701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78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gridSpan w:val="4"/>
          </w:tcPr>
          <w:p>
            <w:pPr>
              <w:spacing w:after="0" w:line="180" w:lineRule="exact"/>
              <w:rPr>
                <w:sz w:val="20"/>
                <w:szCs w:val="20"/>
                <w:color w:val="auto"/>
              </w:rPr>
            </w:pPr>
            <w:r>
              <w:rPr>
                <w:rFonts w:ascii="Times New Roman" w:cs="Times New Roman" w:eastAsia="Times New Roman" w:hAnsi="Times New Roman"/>
                <w:sz w:val="17"/>
                <w:szCs w:val="17"/>
                <w:color w:val="0000FF"/>
              </w:rPr>
              <w:t>C/O FINNOVATE ACQUISITION CORP.,</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80" w:type="dxa"/>
            <w:vAlign w:val="bottom"/>
            <w:tcBorders>
              <w:top w:val="single" w:sz="8" w:color="2C2C2C"/>
            </w:tcBorders>
            <w:gridSpan w:val="5"/>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Borders>
              <w:top w:val="single" w:sz="8" w:color="2C2C2C"/>
            </w:tcBorders>
          </w:tcPr>
          <w:p>
            <w:pPr>
              <w:spacing w:after="0"/>
              <w:rPr>
                <w:sz w:val="15"/>
                <w:szCs w:val="15"/>
                <w:color w:val="auto"/>
              </w:rPr>
            </w:pPr>
          </w:p>
        </w:tc>
        <w:tc>
          <w:tcPr>
            <w:tcW w:w="240" w:type="dxa"/>
            <w:vAlign w:val="bottom"/>
            <w:tcBorders>
              <w:top w:val="single" w:sz="8" w:color="2C2C2C"/>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94 YIGAL ALON ST.</w:t>
            </w:r>
          </w:p>
        </w:tc>
        <w:tc>
          <w:tcPr>
            <w:tcW w:w="134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10/22/2026</w:t>
            </w: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00" w:type="dxa"/>
            <w:vAlign w:val="bottom"/>
            <w:gridSpan w:val="6"/>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2840" w:type="dxa"/>
            <w:vAlign w:val="bottom"/>
            <w:gridSpan w:val="4"/>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500" w:type="dxa"/>
            <w:vAlign w:val="bottom"/>
            <w:tcBorders>
              <w:bottom w:val="single" w:sz="8" w:color="2C2C2C"/>
            </w:tcBorders>
            <w:gridSpan w:val="6"/>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gridSpan w:val="2"/>
          </w:tcPr>
          <w:p>
            <w:pPr>
              <w:spacing w:after="0"/>
              <w:rPr>
                <w:sz w:val="7"/>
                <w:szCs w:val="7"/>
                <w:color w:val="auto"/>
              </w:rPr>
            </w:pPr>
          </w:p>
        </w:tc>
        <w:tc>
          <w:tcPr>
            <w:tcW w:w="2840" w:type="dxa"/>
            <w:vAlign w:val="bottom"/>
            <w:tcBorders>
              <w:bottom w:val="single" w:sz="8" w:color="2C2C2C"/>
            </w:tcBorders>
            <w:gridSpan w:val="4"/>
          </w:tcPr>
          <w:p>
            <w:pPr>
              <w:spacing w:after="0"/>
              <w:rPr>
                <w:sz w:val="7"/>
                <w:szCs w:val="7"/>
                <w:color w:val="auto"/>
              </w:rPr>
            </w:pPr>
          </w:p>
        </w:tc>
        <w:tc>
          <w:tcPr>
            <w:tcW w:w="1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50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TEL AVIV</w:t>
            </w: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7" w:lineRule="exact"/>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ISRAEL</w:t>
            </w: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(Country)</w:t>
            </w:r>
          </w:p>
        </w:tc>
        <w:tc>
          <w:tcPr>
            <w:tcW w:w="7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24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gridSpan w:val="2"/>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4"/>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880"/>
              <w:spacing w:after="0"/>
              <w:rPr>
                <w:sz w:val="20"/>
                <w:szCs w:val="20"/>
                <w:color w:val="auto"/>
              </w:rPr>
            </w:pPr>
            <w:r>
              <w:rPr>
                <w:rFonts w:ascii="Times New Roman" w:cs="Times New Roman" w:eastAsia="Times New Roman" w:hAnsi="Times New Roman"/>
                <w:sz w:val="17"/>
                <w:szCs w:val="17"/>
                <w:color w:val="0000FF"/>
              </w:rPr>
              <w:t>10/22/2026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13,512</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58,884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each represent a contingent right to receive one share of ordinary stock of Allot Ltd. (the "Company"). The RSUs vest in four equal quarterly installments, with 3,378 vesting on each of January 22, 2027, April 22, 2027, July 22, 2027 and October 22, 2027, subject to the Reporting Person's continued service as a director of the Company through each applicable vesting date.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Meirav Shemesh on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3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of Oppenheimer Israel, as</w:t>
      </w:r>
      <w:r>
        <w:rPr>
          <w:sz w:val="20"/>
          <w:szCs w:val="20"/>
          <w:color w:val="auto"/>
        </w:rPr>
        <w:tab/>
      </w:r>
      <w:r>
        <w:rPr>
          <w:rFonts w:ascii="Times New Roman" w:cs="Times New Roman" w:eastAsia="Times New Roman" w:hAnsi="Times New Roman"/>
          <w:sz w:val="17"/>
          <w:szCs w:val="17"/>
          <w:color w:val="0000FF"/>
        </w:rPr>
        <w:t>10/26/2026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143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79719" TargetMode="External"/><Relationship Id="rId14" Type="http://schemas.openxmlformats.org/officeDocument/2006/relationships/hyperlink" Target="http://www.sec.gov/cgi-bin/browse-edgar?action=getcompany&amp;CIK=0001365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2026-10-26T08:17:30Z</dcterms:created>
  <dcterms:modified xsi:type="dcterms:W3CDTF">2026-10-26T08:17:30Z</dcterms:modified>
</cp:coreProperties>
</file>