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zk2635180.xml.htm"/>
      <w:bookmarkStart w:id="1" w:name="kszk26351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601"/>
        <w:gridCol w:w="3538"/>
        <w:gridCol w:w="3066"/>
      </w:tblGrid>
      <w:tr>
        <w:trPr/>
        <w:tc>
          <w:tcPr>
            <w:tcW w:w="360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pPr>
                  <w:hyperlink r:id="rId4">
                    <w:r>
                      <w:rPr>
                        <w:rStyle w:val="InternetLink"/>
                      </w:rPr>
                      <w:t>Charash Inbar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60"/>
              <w:gridCol w:w="1160"/>
              <w:gridCol w:w="1161"/>
            </w:tblGrid>
            <w:tr>
              <w:trPr/>
              <w:tc>
                <w:tcPr>
                  <w:tcW w:w="1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6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ALLOT LTD. 22 HANAGAR STREET</w:t>
                  </w:r>
                </w:p>
              </w:tc>
            </w:tr>
            <w:tr>
              <w:trPr/>
              <w:tc>
                <w:tcPr>
                  <w:tcW w:w="34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NEVE NE'EMAN INDUSTRIAL ZONE 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60"/>
              <w:gridCol w:w="1160"/>
              <w:gridCol w:w="1161"/>
            </w:tblGrid>
            <w:tr>
              <w:trPr/>
              <w:tc>
                <w:tcPr>
                  <w:tcW w:w="11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HOD-HASHARON</w:t>
                  </w:r>
                </w:p>
              </w:tc>
              <w:tc>
                <w:tcPr>
                  <w:tcW w:w="116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4501317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60"/>
              <w:gridCol w:w="1160"/>
              <w:gridCol w:w="1161"/>
            </w:tblGrid>
            <w:tr>
              <w:trPr/>
              <w:tc>
                <w:tcPr>
                  <w:tcW w:w="1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6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3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Allot Ltd.</w:t>
              </w:r>
            </w:hyperlink>
            <w:r>
              <w:rPr/>
              <w:t xml:space="preserve"> [ </w:t>
            </w:r>
            <w:r>
              <w:rPr>
                <w:rFonts w:ascii="Times;serif" w:hAnsi="Times;serif"/>
                <w:color w:val="0000FF"/>
                <w:sz w:val="24"/>
                <w:shd w:fill="FFFFFF" w:val="clear"/>
              </w:rPr>
              <w:t>ALLT</w:t>
            </w:r>
            <w:r>
              <w:rPr/>
              <w:t xml:space="preserve"> ] </w:t>
            </w:r>
          </w:p>
        </w:tc>
        <w:tc>
          <w:tcPr>
            <w:tcW w:w="3066"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2"/>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6" w:type="dxa"/>
                  <w:gridSpan w:val="4"/>
                  <w:tcBorders/>
                  <w:vAlign w:val="center"/>
                </w:tcPr>
                <w:p>
                  <w:pPr>
                    <w:pStyle w:val="TableContents"/>
                    <w:bidi w:val="0"/>
                    <w:spacing w:before="0" w:after="283"/>
                    <w:jc w:val="center"/>
                    <w:rPr/>
                  </w:pPr>
                  <w:r>
                    <w:rPr>
                      <w:rFonts w:ascii="Times;serif" w:hAnsi="Times;serif"/>
                      <w:color w:val="0000FF"/>
                      <w:sz w:val="24"/>
                      <w:shd w:fill="FFFFFF" w:val="clear"/>
                    </w:rPr>
                    <w:t>General Counsel</w:t>
                  </w:r>
                  <w:r>
                    <w:rPr/>
                    <w:t xml:space="preserve"> </w:t>
                  </w:r>
                </w:p>
              </w:tc>
            </w:tr>
          </w:tbl>
          <w:p>
            <w:pPr>
              <w:pStyle w:val="TableContents"/>
              <w:bidi w:val="0"/>
              <w:spacing w:before="0" w:after="283"/>
              <w:jc w:val="left"/>
              <w:rPr>
                <w:sz w:val="4"/>
                <w:szCs w:val="4"/>
              </w:rPr>
            </w:pPr>
            <w:r>
              <w:rPr>
                <w:sz w:val="4"/>
                <w:szCs w:val="4"/>
              </w:rPr>
            </w:r>
          </w:p>
        </w:tc>
      </w:tr>
      <w:tr>
        <w:trPr/>
        <w:tc>
          <w:tcPr>
            <w:tcW w:w="36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3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60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3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6"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1"/>
              <w:gridCol w:w="2505"/>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1"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3"/>
        <w:gridCol w:w="904"/>
        <w:gridCol w:w="772"/>
        <w:gridCol w:w="600"/>
        <w:gridCol w:w="354"/>
        <w:gridCol w:w="824"/>
        <w:gridCol w:w="470"/>
        <w:gridCol w:w="632"/>
        <w:gridCol w:w="1189"/>
        <w:gridCol w:w="1016"/>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NIS 0.10 par value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556</w:t>
            </w:r>
            <w:r>
              <w:rPr>
                <w:rFonts w:ascii="Times;serif" w:hAnsi="Times;serif"/>
                <w:color w:val="008000"/>
                <w:position w:val="7"/>
                <w:sz w:val="16"/>
                <w:sz w:val="20"/>
                <w:shd w:fill="FFFFFF" w:val="clear"/>
              </w:rPr>
              <w:t>(1)</w:t>
            </w:r>
            <w:r>
              <w:rPr/>
              <w:t xml:space="preserve"> </w:t>
            </w:r>
          </w:p>
        </w:tc>
        <w:tc>
          <w:tcPr>
            <w:tcW w:w="4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w:t>
            </w:r>
            <w:r>
              <w:rPr/>
              <w:t xml:space="preserve"> </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28,564</w:t>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reported as disposed herein were granted on November 19, 2025 in the form of restricted share units ("RSUs"). The disposition of shares is associated with tax obligations of the reporting person associated with the vesting of the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Inbar Charash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4569" TargetMode="External"/><Relationship Id="rId5" Type="http://schemas.openxmlformats.org/officeDocument/2006/relationships/hyperlink" Target="http://www.sec.gov/cgi-bin/browse-edgar?action=getcompany&amp;CIK=00013657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3291</Characters>
  <CharactersWithSpaces>3842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