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61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612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Grossman Boaz</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03/18/2026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Allot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ALLT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97"/>
        <w:spacing w:after="0" w:line="275" w:lineRule="auto"/>
        <w:rPr>
          <w:sz w:val="20"/>
          <w:szCs w:val="20"/>
          <w:color w:val="auto"/>
        </w:rPr>
      </w:pPr>
      <w:r>
        <w:rPr>
          <w:rFonts w:ascii="Times New Roman" w:cs="Times New Roman" w:eastAsia="Times New Roman" w:hAnsi="Times New Roman"/>
          <w:sz w:val="20"/>
          <w:szCs w:val="20"/>
          <w:color w:val="0000FF"/>
        </w:rPr>
        <w:t>C/O ALLOT LTD. 22 HANAGAR STREET</w:t>
      </w:r>
    </w:p>
    <w:p>
      <w:pPr>
        <w:spacing w:after="0" w:line="13" w:lineRule="exact"/>
        <w:rPr>
          <w:sz w:val="24"/>
          <w:szCs w:val="24"/>
          <w:color w:val="auto"/>
        </w:rPr>
      </w:pPr>
    </w:p>
    <w:p>
      <w:pPr>
        <w:ind w:left="140" w:right="1477"/>
        <w:spacing w:after="0" w:line="275" w:lineRule="auto"/>
        <w:rPr>
          <w:sz w:val="20"/>
          <w:szCs w:val="20"/>
          <w:color w:val="auto"/>
        </w:rPr>
      </w:pPr>
      <w:r>
        <w:rPr>
          <w:rFonts w:ascii="Times New Roman" w:cs="Times New Roman" w:eastAsia="Times New Roman" w:hAnsi="Times New Roman"/>
          <w:sz w:val="20"/>
          <w:szCs w:val="20"/>
          <w:color w:val="0000FF"/>
        </w:rPr>
        <w:t>NEVE NE'EMAN INDUSTRIAL ZONE B</w:t>
      </w:r>
    </w:p>
    <w:p>
      <w:pPr>
        <w:spacing w:after="0" w:line="26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ind w:left="140"/>
        <w:spacing w:after="0" w:line="207" w:lineRule="auto"/>
        <w:tabs>
          <w:tab w:leader="none" w:pos="1280" w:val="left"/>
          <w:tab w:leader="none" w:pos="2200" w:val="left"/>
        </w:tabs>
        <w:rPr>
          <w:sz w:val="20"/>
          <w:szCs w:val="20"/>
          <w:color w:val="auto"/>
        </w:rPr>
      </w:pPr>
      <w:r>
        <w:rPr>
          <w:rFonts w:ascii="Times New Roman" w:cs="Times New Roman" w:eastAsia="Times New Roman" w:hAnsi="Times New Roman"/>
          <w:sz w:val="34"/>
          <w:szCs w:val="34"/>
          <w:color w:val="0000FF"/>
          <w:vertAlign w:val="superscript"/>
        </w:rPr>
        <w:t>HOD-</w:t>
      </w:r>
      <w:r>
        <w:rPr>
          <w:sz w:val="20"/>
          <w:szCs w:val="20"/>
          <w:color w:val="auto"/>
        </w:rPr>
        <w:tab/>
      </w:r>
      <w:r>
        <w:rPr>
          <w:rFonts w:ascii="Times New Roman" w:cs="Times New Roman" w:eastAsia="Times New Roman" w:hAnsi="Times New Roman"/>
          <w:sz w:val="20"/>
          <w:szCs w:val="20"/>
          <w:color w:val="0000FF"/>
        </w:rPr>
        <w:t>L3</w:t>
      </w:r>
      <w:r>
        <w:rPr>
          <w:sz w:val="20"/>
          <w:szCs w:val="20"/>
          <w:color w:val="auto"/>
        </w:rPr>
        <w:tab/>
      </w:r>
      <w:r>
        <w:rPr>
          <w:rFonts w:ascii="Times New Roman" w:cs="Times New Roman" w:eastAsia="Times New Roman" w:hAnsi="Times New Roman"/>
          <w:sz w:val="18"/>
          <w:szCs w:val="18"/>
          <w:color w:val="0000FF"/>
        </w:rPr>
        <w:t>4501317</w:t>
      </w:r>
    </w:p>
    <w:p>
      <w:pPr>
        <w:spacing w:after="0" w:line="1"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HASHARON</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483"/>
        <w:spacing w:after="0"/>
        <w:rPr>
          <w:sz w:val="20"/>
          <w:szCs w:val="20"/>
          <w:color w:val="auto"/>
        </w:rPr>
      </w:pPr>
      <w:r>
        <w:rPr>
          <w:rFonts w:ascii="Times New Roman" w:cs="Times New Roman" w:eastAsia="Times New Roman" w:hAnsi="Times New Roman"/>
          <w:sz w:val="20"/>
          <w:szCs w:val="20"/>
          <w:color w:val="0000FF"/>
        </w:rPr>
        <w:t>Senior Vice President R&amp;D</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1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76"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ind w:left="300"/>
              <w:spacing w:after="0" w:line="359" w:lineRule="exact"/>
              <w:rPr>
                <w:sz w:val="20"/>
                <w:szCs w:val="20"/>
                <w:color w:val="auto"/>
              </w:rPr>
            </w:pPr>
            <w:r>
              <w:rPr>
                <w:rFonts w:ascii="Times New Roman" w:cs="Times New Roman" w:eastAsia="Times New Roman" w:hAnsi="Times New Roman"/>
                <w:sz w:val="39"/>
                <w:szCs w:val="39"/>
                <w:color w:val="0000FF"/>
                <w:w w:val="99"/>
                <w:vertAlign w:val="subscript"/>
              </w:rPr>
              <w:t>197,000</w:t>
            </w:r>
            <w:r>
              <w:rPr>
                <w:rFonts w:ascii="Times New Roman" w:cs="Times New Roman" w:eastAsia="Times New Roman" w:hAnsi="Times New Roman"/>
                <w:sz w:val="13"/>
                <w:szCs w:val="13"/>
                <w:color w:val="008000"/>
                <w:w w:val="99"/>
              </w:rPr>
              <w:t>(1)(2)(3)</w:t>
            </w:r>
          </w:p>
        </w:tc>
        <w:tc>
          <w:tcPr>
            <w:tcW w:w="94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940" w:type="dxa"/>
            <w:vAlign w:val="bottom"/>
            <w:gridSpan w:val="2"/>
            <w:vMerge w:val="restart"/>
          </w:tcPr>
          <w:p>
            <w:pPr>
              <w:ind w:left="2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40" w:type="dxa"/>
            <w:vAlign w:val="bottom"/>
            <w:gridSpan w:val="2"/>
          </w:tcPr>
          <w:p>
            <w:pPr>
              <w:ind w:left="2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40" w:type="dxa"/>
            <w:vAlign w:val="bottom"/>
            <w:gridSpan w:val="2"/>
          </w:tcPr>
          <w:p>
            <w:pPr>
              <w:ind w:left="24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20" w:type="dxa"/>
            <w:vAlign w:val="bottom"/>
          </w:tcPr>
          <w:p>
            <w:pPr>
              <w:spacing w:after="0"/>
              <w:rPr>
                <w:sz w:val="14"/>
                <w:szCs w:val="14"/>
                <w:color w:val="auto"/>
              </w:rPr>
            </w:pPr>
          </w:p>
        </w:tc>
        <w:tc>
          <w:tcPr>
            <w:tcW w:w="940" w:type="dxa"/>
            <w:vAlign w:val="bottom"/>
            <w:gridSpan w:val="2"/>
          </w:tcPr>
          <w:p>
            <w:pPr>
              <w:ind w:left="2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2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2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10,000 Ordinary Shares that are represented by restricted share units ("RSUs") that were granted on May 19, 2023 and vest on May 19, 2026, subject to the Reporting Person's continued service. Each RSU represents a contingent right to receive one Ordinary Share of the Issuer upon settlement.</w:t>
      </w:r>
    </w:p>
    <w:p>
      <w:pPr>
        <w:spacing w:after="0" w:line="17" w:lineRule="exact"/>
        <w:rPr>
          <w:rFonts w:ascii="Times New Roman" w:cs="Times New Roman" w:eastAsia="Times New Roman" w:hAnsi="Times New Roman"/>
          <w:sz w:val="15"/>
          <w:szCs w:val="15"/>
          <w:color w:val="008000"/>
        </w:rPr>
      </w:pPr>
    </w:p>
    <w:p>
      <w:pPr>
        <w:ind w:left="40" w:right="3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50,000 Ordinary Shares that are represented by RSUs that were granted on February 24, 2025, of which 25,000 vest on each of February 24, 2027 and February 24, 2028, subject to the Reporting Person's continued service.</w:t>
      </w:r>
    </w:p>
    <w:p>
      <w:pPr>
        <w:spacing w:after="0" w:line="17" w:lineRule="exact"/>
        <w:rPr>
          <w:rFonts w:ascii="Times New Roman" w:cs="Times New Roman" w:eastAsia="Times New Roman" w:hAnsi="Times New Roman"/>
          <w:sz w:val="15"/>
          <w:szCs w:val="15"/>
          <w:color w:val="008000"/>
        </w:rPr>
      </w:pPr>
    </w:p>
    <w:p>
      <w:pPr>
        <w:ind w:left="40" w:right="6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20,000 Ordinary Shares that are represented by RSUs that were granted on February 26, 2026 and vest on February 26, 2029, subject to the Reporting Person's continued service.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Inbar Charash,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6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38100"/>
                    </a:xfrm>
                    <a:prstGeom prst="rect">
                      <a:avLst/>
                    </a:prstGeom>
                    <a:noFill/>
                  </pic:spPr>
                </pic:pic>
              </a:graphicData>
            </a:graphic>
          </wp:anchor>
        </w:drawing>
        <w:drawing>
          <wp:anchor simplePos="0" relativeHeight="251657728" behindDoc="1" locked="0" layoutInCell="0" allowOverlap="1">
            <wp:simplePos x="0" y="0"/>
            <wp:positionH relativeFrom="page">
              <wp:posOffset>304800</wp:posOffset>
            </wp:positionH>
            <wp:positionV relativeFrom="page">
              <wp:posOffset>222250</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t>Exhibit 24</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LIMITED POWER OF ATTORNEY</w:t>
      </w:r>
    </w:p>
    <w:p>
      <w:pPr>
        <w:spacing w:after="0" w:line="269" w:lineRule="exact"/>
        <w:rPr>
          <w:sz w:val="20"/>
          <w:szCs w:val="20"/>
          <w:color w:val="auto"/>
        </w:rPr>
      </w:pPr>
    </w:p>
    <w:p>
      <w:pPr>
        <w:jc w:val="both"/>
        <w:ind w:firstLine="720"/>
        <w:spacing w:after="0" w:line="282" w:lineRule="auto"/>
        <w:rPr>
          <w:sz w:val="20"/>
          <w:szCs w:val="20"/>
          <w:color w:val="auto"/>
        </w:rPr>
      </w:pPr>
      <w:r>
        <w:rPr>
          <w:rFonts w:ascii="Times New Roman" w:cs="Times New Roman" w:eastAsia="Times New Roman" w:hAnsi="Times New Roman"/>
          <w:sz w:val="20"/>
          <w:szCs w:val="20"/>
          <w:color w:val="auto"/>
        </w:rPr>
        <w:t>Know all by these present, that the undersigned hereby constitutes and appoints each of Inbar Charash, Daniella Naveh and Liat Nahum (each, an “</w:t>
      </w:r>
      <w:r>
        <w:rPr>
          <w:rFonts w:ascii="Times New Roman" w:cs="Times New Roman" w:eastAsia="Times New Roman" w:hAnsi="Times New Roman"/>
          <w:sz w:val="20"/>
          <w:szCs w:val="20"/>
          <w:b w:val="1"/>
          <w:bCs w:val="1"/>
          <w:color w:val="auto"/>
        </w:rPr>
        <w:t>Attorney-in-fact</w:t>
      </w:r>
      <w:r>
        <w:rPr>
          <w:rFonts w:ascii="Times New Roman" w:cs="Times New Roman" w:eastAsia="Times New Roman" w:hAnsi="Times New Roman"/>
          <w:sz w:val="20"/>
          <w:szCs w:val="20"/>
          <w:color w:val="auto"/>
        </w:rPr>
        <w:t>” or together, the “</w:t>
      </w:r>
      <w:r>
        <w:rPr>
          <w:rFonts w:ascii="Times New Roman" w:cs="Times New Roman" w:eastAsia="Times New Roman" w:hAnsi="Times New Roman"/>
          <w:sz w:val="20"/>
          <w:szCs w:val="20"/>
          <w:b w:val="1"/>
          <w:bCs w:val="1"/>
          <w:color w:val="auto"/>
        </w:rPr>
        <w:t>Attorneys-in-fact</w:t>
      </w:r>
      <w:r>
        <w:rPr>
          <w:rFonts w:ascii="Times New Roman" w:cs="Times New Roman" w:eastAsia="Times New Roman" w:hAnsi="Times New Roman"/>
          <w:sz w:val="20"/>
          <w:szCs w:val="20"/>
          <w:color w:val="auto"/>
        </w:rPr>
        <w:t>”) of Allot Ltd.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or any of them acting singly and with full power of substitution, as the undersigned’s true and lawful attorney-in-fact to:</w:t>
      </w:r>
    </w:p>
    <w:p>
      <w:pPr>
        <w:spacing w:after="0" w:line="195" w:lineRule="exact"/>
        <w:rPr>
          <w:sz w:val="20"/>
          <w:szCs w:val="20"/>
          <w:color w:val="auto"/>
        </w:rPr>
      </w:pPr>
    </w:p>
    <w:p>
      <w:pPr>
        <w:jc w:val="both"/>
        <w:ind w:firstLine="720"/>
        <w:spacing w:after="0" w:line="271" w:lineRule="auto"/>
        <w:tabs>
          <w:tab w:leader="none" w:pos="1589"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submit, execute for, and on behalf of the undersigned, in the undersigned’s capacity as an officer and/or director of the Company any Forms 3, 4, and 5 (and any amendments thereto) in accordance with Section 16(a) of the U.S. Securities Exchange Act of 1934, as amended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and the rules promulgated thereunder or Forms 144 in accordance with Rule 144 (“</w:t>
      </w:r>
      <w:r>
        <w:rPr>
          <w:rFonts w:ascii="Times New Roman" w:cs="Times New Roman" w:eastAsia="Times New Roman" w:hAnsi="Times New Roman"/>
          <w:sz w:val="20"/>
          <w:szCs w:val="20"/>
          <w:b w:val="1"/>
          <w:bCs w:val="1"/>
          <w:color w:val="auto"/>
        </w:rPr>
        <w:t>Rule 144</w:t>
      </w:r>
      <w:r>
        <w:rPr>
          <w:rFonts w:ascii="Times New Roman" w:cs="Times New Roman" w:eastAsia="Times New Roman" w:hAnsi="Times New Roman"/>
          <w:sz w:val="20"/>
          <w:szCs w:val="20"/>
          <w:color w:val="auto"/>
        </w:rPr>
        <w:t>”) under the U.S. Securities Act of 1933, as amended (the “</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w:t>
      </w:r>
    </w:p>
    <w:p>
      <w:pPr>
        <w:spacing w:after="0" w:line="206" w:lineRule="exact"/>
        <w:rPr>
          <w:rFonts w:ascii="Times New Roman" w:cs="Times New Roman" w:eastAsia="Times New Roman" w:hAnsi="Times New Roman"/>
          <w:sz w:val="20"/>
          <w:szCs w:val="20"/>
          <w:color w:val="auto"/>
        </w:rPr>
      </w:pPr>
    </w:p>
    <w:p>
      <w:pPr>
        <w:jc w:val="both"/>
        <w:ind w:firstLine="720"/>
        <w:spacing w:after="0" w:line="282" w:lineRule="auto"/>
        <w:tabs>
          <w:tab w:leader="none" w:pos="1395"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5 and 144, complete and execute any amendment or amendments thereto and timely file such forms or amendments with the U.S. Securities and Exchange Commission and any stock exchange or similar authority, as required;</w:t>
      </w:r>
    </w:p>
    <w:p>
      <w:pPr>
        <w:spacing w:after="0" w:line="194" w:lineRule="exact"/>
        <w:rPr>
          <w:rFonts w:ascii="Times New Roman" w:cs="Times New Roman" w:eastAsia="Times New Roman" w:hAnsi="Times New Roman"/>
          <w:sz w:val="20"/>
          <w:szCs w:val="20"/>
          <w:color w:val="auto"/>
        </w:rPr>
      </w:pPr>
    </w:p>
    <w:p>
      <w:pPr>
        <w:jc w:val="both"/>
        <w:ind w:firstLine="720"/>
        <w:spacing w:after="0" w:line="274" w:lineRule="auto"/>
        <w:tabs>
          <w:tab w:leader="none" w:pos="14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or obtain, as the undersigned’s representative and on the undersigned’s behalf, information on transactions in the Company’s securities from any broker or financial institution, and the undersigned hereby authorizes any such person to release any such information to each of the Attorneys-in-fact and approves and ratifies any such release of information; and</w:t>
      </w:r>
    </w:p>
    <w:p>
      <w:pPr>
        <w:spacing w:after="0" w:line="202" w:lineRule="exact"/>
        <w:rPr>
          <w:rFonts w:ascii="Times New Roman" w:cs="Times New Roman" w:eastAsia="Times New Roman" w:hAnsi="Times New Roman"/>
          <w:sz w:val="20"/>
          <w:szCs w:val="20"/>
          <w:color w:val="auto"/>
        </w:rPr>
      </w:pPr>
    </w:p>
    <w:p>
      <w:pPr>
        <w:jc w:val="both"/>
        <w:ind w:firstLine="720"/>
        <w:spacing w:after="0" w:line="271" w:lineRule="auto"/>
        <w:tabs>
          <w:tab w:leader="none" w:pos="139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22"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such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each Attorney-in-fact, in serving in such capacities at the request of the undersigned, is not assuming any of the undersigned’s responsibilities to comply with Section 16 of the Exchange Act or Rule 144 under the Securities Act.</w:t>
      </w:r>
    </w:p>
    <w:p>
      <w:pPr>
        <w:spacing w:after="0" w:line="212" w:lineRule="exact"/>
        <w:rPr>
          <w:sz w:val="20"/>
          <w:szCs w:val="20"/>
          <w:color w:val="auto"/>
        </w:rPr>
      </w:pPr>
    </w:p>
    <w:p>
      <w:pPr>
        <w:jc w:val="both"/>
        <w:ind w:firstLine="720"/>
        <w:spacing w:after="0" w:line="270" w:lineRule="auto"/>
        <w:rPr>
          <w:sz w:val="20"/>
          <w:szCs w:val="20"/>
          <w:color w:val="auto"/>
        </w:rPr>
      </w:pPr>
      <w:r>
        <w:rPr>
          <w:rFonts w:ascii="Times New Roman" w:cs="Times New Roman" w:eastAsia="Times New Roman" w:hAnsi="Times New Roman"/>
          <w:sz w:val="20"/>
          <w:szCs w:val="20"/>
          <w:color w:val="auto"/>
        </w:rPr>
        <w:t>This Power of Attorney, with respect to each of the Attorneys-in-fact, shall remain in full force and effect until the earliest to occur of (a) the date that the undersigned is no longer required to file Forms 3, 4, 5 and 144 with respect to the undersigned’s holdings of and transactions in securities issued by the Company, (b) with respect to the Attorney-in-fact, this Power of Attorney is revoked by the undersigned in a signed writing delivered to such Attorney-in-fact, or (c) the time at which such Attorney-in-fact is no longer employed by the Company or any of its subsidiaries, as applicable.</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executed this Limited Power of Attorney as of this 18 day of March, 2026.</w:t>
      </w:r>
    </w:p>
    <w:p>
      <w:pPr>
        <w:spacing w:after="0" w:line="26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u w:val="single" w:color="auto"/>
          <w:color w:val="auto"/>
        </w:rPr>
        <w:t>/s/ Boaz Grossman</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Boaz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234950</wp:posOffset>
            </wp:positionV>
            <wp:extent cx="69469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339725</wp:posOffset>
            </wp:positionV>
            <wp:extent cx="6946900"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38100"/>
                    </a:xfrm>
                    <a:prstGeom prst="rect">
                      <a:avLst/>
                    </a:prstGeom>
                    <a:noFill/>
                  </pic:spPr>
                </pic:pic>
              </a:graphicData>
            </a:graphic>
          </wp:anchor>
        </w:drawing>
      </w:r>
    </w:p>
    <w:sectPr>
      <w:pgSz w:w="11900" w:h="16838" w:orient="portrait"/>
      <w:cols w:equalWidth="0" w:num="1">
        <w:col w:w="10940"/>
      </w:cols>
      <w:pgMar w:left="480" w:top="44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2103955" TargetMode="External"/><Relationship Id="rId11" Type="http://schemas.openxmlformats.org/officeDocument/2006/relationships/hyperlink" Target="http://www.sec.gov/cgi-bin/browse-edgar?action=getcompany&amp;CIK=0001365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2026-03-18T10:03:17Z</dcterms:created>
  <dcterms:modified xsi:type="dcterms:W3CDTF">2026-03-18T10:03:17Z</dcterms:modified>
</cp:coreProperties>
</file>