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5897.htm"/>
      <w:bookmarkStart w:id="1" w:name="kszk2635897"/>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TO RULE 13A-16 OR 15D-16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t>For the month of August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001-33129</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32"/>
        </w:rPr>
        <w:t>ALLOT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Hanagar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Neve Ne'eman Industrial Zone B</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Hod-Hasharon 45240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by furnishing the information contained in this Form, the registrant is also thereby furnishing the information to the Commission pursuant to Rule 12g3-2(b) under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"Yes" is marked, indicate below the file number assigned to the registrant in connection with Rule 12g3-2(b): 82- ________</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Allot Ltd. issued a press release announcing the Second Quarter 2026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entitled “Allot Announces Second Quarter 2026 Financial Results” is attached to this Form 6-K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under “Explanatory Note” in this Report on Form 6-K is incorporated by reference into the Company’s registration statements on Form F-3 (File No. 333-286174 and 333-264202) and Form S-8 (File Nos. 333-140701, 333-149237, 333-159306, 333-165144, 333-172492, 333-180770, 333-187406, 333-194833, 333-203028, 333-210420, 333-216893, 333-223838, 333-230391, 333-237405, 333-254298, 333-263767, 333-270903, 333-278607, 333-285268 and 333-294623) and shall be part thereof from the date on which this Form 6-K is furnished, to the extent not superseded by documents or reports subsequently filed or furnished. Exhibit 99.1 to this Report on Form 6-K shall not be deemed to be incorporated by reference into such registration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has been furnished as part of this Form 6-K:</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565"/>
        <w:gridCol w:w="5420"/>
      </w:tblGrid>
      <w:tr>
        <w:trPr/>
        <w:tc>
          <w:tcPr>
            <w:tcW w:w="1565" w:type="dxa"/>
            <w:tcBorders/>
            <w:vAlign w:val="center"/>
          </w:tcPr>
          <w:p>
            <w:pPr>
              <w:pStyle w:val="TableContents"/>
              <w:bidi w:val="0"/>
              <w:spacing w:before="0" w:after="283"/>
              <w:jc w:val="left"/>
              <w:rPr>
                <w:u w:val="single"/>
              </w:rPr>
            </w:pPr>
            <w:r>
              <w:rPr>
                <w:u w:val="single"/>
              </w:rPr>
              <w:t>Exhibit Number</w:t>
            </w:r>
          </w:p>
        </w:tc>
        <w:tc>
          <w:tcPr>
            <w:tcW w:w="5420" w:type="dxa"/>
            <w:tcBorders/>
            <w:vAlign w:val="center"/>
          </w:tcPr>
          <w:p>
            <w:pPr>
              <w:pStyle w:val="TableContents"/>
              <w:bidi w:val="0"/>
              <w:spacing w:before="0" w:after="283"/>
              <w:jc w:val="left"/>
              <w:rPr>
                <w:u w:val="single"/>
              </w:rPr>
            </w:pPr>
            <w:r>
              <w:rPr>
                <w:u w:val="single"/>
              </w:rPr>
              <w:t>Description</w:t>
            </w:r>
          </w:p>
        </w:tc>
      </w:tr>
      <w:tr>
        <w:trPr/>
        <w:tc>
          <w:tcPr>
            <w:tcW w:w="1565" w:type="dxa"/>
            <w:tcBorders/>
            <w:vAlign w:val="center"/>
          </w:tcPr>
          <w:p>
            <w:pPr>
              <w:pStyle w:val="TableContents"/>
              <w:bidi w:val="0"/>
              <w:spacing w:before="0" w:after="283"/>
              <w:jc w:val="left"/>
              <w:rPr/>
            </w:pPr>
            <w:hyperlink w:anchor="exhibit_99-1.htm">
              <w:r>
                <w:rPr>
                  <w:rStyle w:val="InternetLink"/>
                </w:rPr>
                <w:t>99.1</w:t>
              </w:r>
            </w:hyperlink>
          </w:p>
        </w:tc>
        <w:tc>
          <w:tcPr>
            <w:tcW w:w="5420" w:type="dxa"/>
            <w:tcBorders/>
            <w:vAlign w:val="center"/>
          </w:tcPr>
          <w:p>
            <w:pPr>
              <w:pStyle w:val="TableContents"/>
              <w:bidi w:val="0"/>
              <w:spacing w:before="0" w:after="283"/>
              <w:jc w:val="left"/>
              <w:rPr/>
            </w:pPr>
            <w:hyperlink w:anchor="exhibit_99-1.htm">
              <w:r>
                <w:rPr>
                  <w:rStyle w:val="InternetLink"/>
                </w:rPr>
                <w:t>Allot Announces Second Quarter 2026 Financial Results</w:t>
              </w:r>
            </w:hyperlink>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75"/>
        <w:gridCol w:w="1895"/>
      </w:tblGrid>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Ltd.</w:t>
            </w:r>
          </w:p>
          <w:p>
            <w:pPr>
              <w:pStyle w:val="TableContents"/>
              <w:bidi w:val="0"/>
              <w:spacing w:before="0" w:after="0"/>
              <w:ind w:left="504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Liat Nahum</w:t>
              <w:tab/>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Liat Nahum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t> </w:t>
      </w:r>
      <w:r>
        <w:rPr/>
        <w:drawing>
          <wp:inline distT="0" distB="0" distL="0" distR="0">
            <wp:extent cx="11906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858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Allot Announces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Raising 2026 revenue guidance to $115–$118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Hod Hasharon, Israel – August 12,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Allot Ltd.</w:t>
      </w:r>
      <w:r>
        <w:rPr>
          <w:rFonts w:ascii="Times New Roman;Times;Serif" w:hAnsi="Times New Roman;Times;Serif"/>
          <w:b w:val="false"/>
          <w:i w:val="false"/>
          <w:caps w:val="false"/>
          <w:smallCaps w:val="false"/>
          <w:sz w:val="20"/>
        </w:rPr>
        <w:t xml:space="preserve"> (NASDAQ: ALLT, TASE: ALLT), a leading global provider of innovative Security-as-a-Service (SECaaS) and network intelligence solutions for communications service providers and enterprises, today announced its unaudited financial results for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Highlights for the Second Quarter of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Symbol" w:hAnsi="Symbol"/>
              </w:rPr>
            </w:pPr>
            <w:r>
              <w:rPr>
                <w:rFonts w:ascii="Symbol" w:hAnsi="Symbol"/>
              </w:rPr>
              <w:t>·</w:t>
            </w:r>
          </w:p>
        </w:tc>
        <w:tc>
          <w:tcPr>
            <w:tcW w:w="99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Strong revenue growth to $27.7 million, up 15% year-over-year;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Security-as-a-Service (SECaaS) revenues of $9.4 million, increasing 47% year-over-year;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90"/>
        <w:gridCol w:w="9958"/>
      </w:tblGrid>
      <w:tr>
        <w:trPr/>
        <w:tc>
          <w:tcPr>
            <w:tcW w:w="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Symbol" w:hAnsi="Symbol"/>
              </w:rPr>
            </w:pPr>
            <w:r>
              <w:rPr>
                <w:rFonts w:ascii="Symbol" w:hAnsi="Symbol"/>
              </w:rPr>
              <w:t>·</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June 2026 SECaaS ARR* of $36.1 million, up 44% year-over-year;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GAAP operating income of $1.1 million, compared with a GAAP operating loss of $0.4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Non-GAAP operating income of $2.7 million, a significant increase compared with $1.2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cash flow of $8.5 million, more than double compared with $4.0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June 23, 2026, the Board of Directors approved a share repurchase program of up to $40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 Comment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Eyal Harari, CEO of Allot, commented</w:t>
      </w:r>
      <w:r>
        <w:rPr>
          <w:rFonts w:ascii="Times New Roman;Times;Serif" w:hAnsi="Times New Roman;Times;Serif"/>
          <w:b w:val="false"/>
          <w:i w:val="false"/>
          <w:caps w:val="false"/>
          <w:smallCaps w:val="false"/>
          <w:sz w:val="20"/>
        </w:rPr>
        <w:t>, “We are excited to report our fourth consecutive quarter of double-digit growth. I am particularly encouraged by the revenue strength of the North American region this quarter, as I believe that this region has many opportunities to provide us with sustainable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Harari added,</w:t>
      </w:r>
      <w:r>
        <w:rPr>
          <w:rFonts w:ascii="Times New Roman;Times;Serif" w:hAnsi="Times New Roman;Times;Serif"/>
          <w:b w:val="false"/>
          <w:i w:val="false"/>
          <w:caps w:val="false"/>
          <w:smallCaps w:val="false"/>
          <w:sz w:val="20"/>
        </w:rPr>
        <w:t xml:space="preserve"> “Following our solid execution and visibility for the remainder of the year, we are raising our 2026 revenue guidance to between </w:t>
      </w:r>
      <w:r>
        <w:rPr>
          <w:rFonts w:ascii="Times New Roman;Times;Serif" w:hAnsi="Times New Roman;Times;Serif"/>
          <w:b/>
          <w:i w:val="false"/>
          <w:caps w:val="false"/>
          <w:smallCaps w:val="false"/>
          <w:sz w:val="20"/>
        </w:rPr>
        <w:t>$115 million and $118 million</w:t>
      </w:r>
      <w:r>
        <w:rPr>
          <w:rFonts w:ascii="Times New Roman;Times;Serif" w:hAnsi="Times New Roman;Times;Serif"/>
          <w:b w:val="false"/>
          <w:i w:val="false"/>
          <w:caps w:val="false"/>
          <w:smallCaps w:val="false"/>
          <w:sz w:val="20"/>
        </w:rPr>
        <w:t>, with continued improvement in profitability. We expect our SECaaS revenue growth for 2026 to be 40% or more. We see many growth opportunities ahead of us and with over $100 million in cash, we believe we are well positioned to capitalize on these opportunities while maximizing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Harari concluded</w:t>
      </w:r>
      <w:r>
        <w:rPr>
          <w:rFonts w:ascii="Times New Roman;Times;Serif" w:hAnsi="Times New Roman;Times;Serif"/>
          <w:b w:val="false"/>
          <w:i w:val="false"/>
          <w:caps w:val="false"/>
          <w:smallCaps w:val="false"/>
          <w:sz w:val="20"/>
        </w:rPr>
        <w:t>, “At the end of the second quarter, our Board of Directors approved a $40 million share repurchase program, reflecting our confidence in Allot’s strategy and financial strength.”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Financial Results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for the second quarter of 2026 were $27.7 million, a 15% increase year-over-year compared with $24.1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 on a GAAP basis</w:t>
      </w:r>
      <w:r>
        <w:rPr>
          <w:rFonts w:ascii="Times New Roman;Times;Serif" w:hAnsi="Times New Roman;Times;Serif"/>
          <w:b w:val="false"/>
          <w:i w:val="false"/>
          <w:caps w:val="false"/>
          <w:smallCaps w:val="false"/>
          <w:sz w:val="20"/>
        </w:rPr>
        <w:t xml:space="preserve"> for the second quarter of 2026 was $19.8 million (gross margin of 71.3%), a 14% increase compared with $17.3 million (gross margin of 72.1%)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 on a non-GAAP basis</w:t>
      </w:r>
      <w:r>
        <w:rPr>
          <w:rFonts w:ascii="Times New Roman;Times;Serif" w:hAnsi="Times New Roman;Times;Serif"/>
          <w:b w:val="false"/>
          <w:i w:val="false"/>
          <w:caps w:val="false"/>
          <w:smallCaps w:val="false"/>
          <w:sz w:val="20"/>
        </w:rPr>
        <w:t xml:space="preserve"> for the second quarter of 2026 was $19.9 million (gross margin of 71.8%), a 13% increase compared with $17.6 million (gross margin of 73.4%)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 on a GAAP basis</w:t>
      </w:r>
      <w:r>
        <w:rPr>
          <w:rFonts w:ascii="Times New Roman;Times;Serif" w:hAnsi="Times New Roman;Times;Serif"/>
          <w:b w:val="false"/>
          <w:i w:val="false"/>
          <w:caps w:val="false"/>
          <w:smallCaps w:val="false"/>
          <w:sz w:val="20"/>
        </w:rPr>
        <w:t xml:space="preserve"> for the second quarter of 2026 was $1.1 million (operating margin of 4.0%), compared with an operating loss of $0.4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 on a non-GAAP basis</w:t>
      </w:r>
      <w:r>
        <w:rPr>
          <w:rFonts w:ascii="Times New Roman;Times;Serif" w:hAnsi="Times New Roman;Times;Serif"/>
          <w:b w:val="false"/>
          <w:i w:val="false"/>
          <w:caps w:val="false"/>
          <w:smallCaps w:val="false"/>
          <w:sz w:val="20"/>
        </w:rPr>
        <w:t xml:space="preserve"> for the second quarter of 2026 was $2.7 million (operating margin of 9.9%), compared with $1.2 million (operating margin of 5.0%)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on a GAAP basis</w:t>
      </w:r>
      <w:r>
        <w:rPr>
          <w:rFonts w:ascii="Times New Roman;Times;Serif" w:hAnsi="Times New Roman;Times;Serif"/>
          <w:b w:val="false"/>
          <w:i w:val="false"/>
          <w:caps w:val="false"/>
          <w:smallCaps w:val="false"/>
          <w:sz w:val="20"/>
        </w:rPr>
        <w:t xml:space="preserve"> for the second quarter of 2026 was $2.6 million, or $0.05 per diluted share, compared with a net loss of $1.7 million, or $0.04 per diluted share,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on a non-GAAP basis</w:t>
      </w:r>
      <w:r>
        <w:rPr>
          <w:rFonts w:ascii="Times New Roman;Times;Serif" w:hAnsi="Times New Roman;Times;Serif"/>
          <w:b w:val="false"/>
          <w:i w:val="false"/>
          <w:caps w:val="false"/>
          <w:smallCaps w:val="false"/>
          <w:sz w:val="20"/>
        </w:rPr>
        <w:t xml:space="preserve"> for the second quarter of 2026 was $4.6 million, or $0.09 per diluted share, compared with $1.5 million, or $0.03 per diluted share,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cash flow</w:t>
      </w:r>
      <w:r>
        <w:rPr>
          <w:rFonts w:ascii="Times New Roman;Times;Serif" w:hAnsi="Times New Roman;Times;Serif"/>
          <w:b w:val="false"/>
          <w:i w:val="false"/>
          <w:caps w:val="false"/>
          <w:smallCaps w:val="false"/>
          <w:sz w:val="20"/>
        </w:rPr>
        <w:t xml:space="preserve"> generated in the quarter was $8.5 million, compared with $4.0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 bank deposits, restricted deposits and investments</w:t>
      </w:r>
      <w:r>
        <w:rPr>
          <w:rFonts w:ascii="Times New Roman;Times;Serif" w:hAnsi="Times New Roman;Times;Serif"/>
          <w:b w:val="false"/>
          <w:i w:val="false"/>
          <w:caps w:val="false"/>
          <w:smallCaps w:val="false"/>
          <w:sz w:val="20"/>
        </w:rPr>
        <w:t xml:space="preserve"> as of June 30, 2026, totaled $107 million, compared with $88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Conference Call &amp; Webcast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Allot management team will host a conference call to discuss its second quarter 2026 earnings results today, August 12, 2026, at 8:30 am ET, 1:30 pm UK, 3:30 pm Israel time. To access the conference call, please dial one of the following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1-888-668-9141, UK: 0-800-917-5108, Israel: +972-3-918-0644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and, following the end of the call, an archive of the conference call, will be accessible on the Allot website at: </w:t>
      </w:r>
      <w:r>
        <w:rPr>
          <w:rFonts w:ascii="Times New Roman;Times;Serif" w:hAnsi="Times New Roman;Times;Serif"/>
          <w:b w:val="false"/>
          <w:i w:val="false"/>
          <w:caps w:val="false"/>
          <w:smallCaps w:val="false"/>
          <w:sz w:val="20"/>
          <w:u w:val="single"/>
        </w:rPr>
        <w:t>https://investors.allot.com/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Allot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Ltd. (NASDAQ: ALLT, TASE: ALLT) is a leading provider of innovative converged cybersecurity solutions and network intelligence offerings for service providers and enterprises worldwide. Allot enhances value to its customers’ customers through its solutions, which are deployed globally for network-native cybersecurity services, network and application analytics, traffic control and shaping, and more. Allot’s multi-service platforms are deployed by over 500 mobile, fixed and cloud service providers and over 1,000 enterprises. Allot’s industry-leading network-native security-as-a-service solution is already used by many millions of subscribers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www.allot.com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Performance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SECaaS ARR – measures the current annual recurring SECaaS revenues, calculated as estimated SECaaS revenues for the month of June 2026, multiplied by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GAAP to Non-GAAP Reconciliation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non-GAAP financial measures that adjust GAAP results to exclude items that management considers not reflective of the Company’s ongoing operational performance. Non-GAAP gross profit is defined as GAAP gross profit excluding share-based compensation expenses, amortization of intangible assets and acquisition-related expenses. Non-GAAP operating income is defined as GAAP operating income excluding primarily share-based compensation expenses, amortization of intangible assets and acquisition-related expenses. Non-GAAP net income is defined as GAAP net income excluding primarily share-based compensation expenses, amortization of intangible assets, loss from extinguishment, acquisition-related and other non-recurring expenses, financial income or expenses related to exchange rate differences and changes in tax-related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measures should be considered in addition to, and not as a substitute for, comparable GAAP measures. The non-GAAP results and a full reconciliation between GAAP and non-GAAP results are presented below. The Company provides these non-GAAP financial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b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Private Securities Litigation Reform Act of 1995. All statements contained in this release that do not relate to matters of historical fact should be considered forward-looking statements, including, without limitation, statements regarding our expected financial performance and operational performance including revenue, profitability growth, long-term growth opportunities, our ability to execute our strategy, capital allocation, share repurchase programs, maximizing shareholder value, and future opportunities, as well as statements that include the words “expect,” “intend,” “plan,” “believe,” “project,” “forecast,” “estimate,” “may,” “should,” “anticipate” and similar statements of a future or forward-looking nature. These forward-looking statements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accounts receivable, including our ability to collect outstanding accounts and assess their collectability on a quarterly basis; our ability to meet expectations with respect to our financial guidance and outlook;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third party channel partners for a material portion of our revenues; and other factors discussed under the heading "Risk Factors" in the Company's annual report on Form 20-F for the fiscal year 2025, filed with the Securities and Exchange Commission as such factors may be updated from time to time in our other filings with the SEC, which are accessible on the SEC’s website at www.sec.gov. Accordingly, you should not rely upon forward-looking statements as predictions of future events. Additionally, the forward-looking statements are made only as of the date hereof, and the Company undertakes no obligation to update or revise the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420"/>
        <w:gridCol w:w="2180"/>
      </w:tblGrid>
      <w:tr>
        <w:trPr/>
        <w:tc>
          <w:tcPr>
            <w:tcW w:w="242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EK Global Investor Relations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Ehud Helft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+1 212 378 8040</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allot@ekgir.com</w:t>
            </w:r>
          </w:p>
        </w:tc>
        <w:tc>
          <w:tcPr>
            <w:tcW w:w="218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 Contact: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Greenberg, Allot Ltd.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+972 54 922 2294</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sgreenberg@allot.com</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ALLOT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764"/>
        <w:gridCol w:w="60"/>
        <w:gridCol w:w="140"/>
        <w:gridCol w:w="800"/>
        <w:gridCol w:w="60"/>
        <w:gridCol w:w="60"/>
        <w:gridCol w:w="185"/>
        <w:gridCol w:w="1060"/>
        <w:gridCol w:w="76"/>
      </w:tblGrid>
      <w:tr>
        <w:trPr/>
        <w:tc>
          <w:tcPr>
            <w:tcW w:w="77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vAlign w:val="center"/>
          </w:tcPr>
          <w:p>
            <w:pPr>
              <w:pStyle w:val="TableContents"/>
              <w:bidi w:val="0"/>
              <w:spacing w:before="0" w:after="283"/>
              <w:jc w:val="center"/>
              <w:rPr>
                <w:b/>
              </w:rPr>
            </w:pPr>
            <w:r>
              <w:rPr>
                <w:b/>
              </w:rPr>
              <w:t>December 31,</w:t>
            </w:r>
          </w:p>
        </w:tc>
        <w:tc>
          <w:tcPr>
            <w:tcW w:w="76" w:type="dxa"/>
            <w:tcBorders/>
            <w:vAlign w:val="center"/>
          </w:tcPr>
          <w:p>
            <w:pPr>
              <w:pStyle w:val="TableContents"/>
              <w:bidi w:val="0"/>
              <w:spacing w:before="0" w:after="283"/>
              <w:jc w:val="left"/>
              <w:rPr/>
            </w:pPr>
            <w:r>
              <w:rPr/>
              <w:t> </w:t>
            </w:r>
          </w:p>
        </w:tc>
      </w:tr>
      <w:tr>
        <w:trPr/>
        <w:tc>
          <w:tcPr>
            <w:tcW w:w="77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r>
      <w:tr>
        <w:trPr/>
        <w:tc>
          <w:tcPr>
            <w:tcW w:w="77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17,107</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Restricted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3,573</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Short-term bank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15,100</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Available-for-sale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48,663</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Trade receivables, net (net of allowance for credit losses of $9,148 and $9,611 on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17,451</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Other receivables and 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9,906</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13,180</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157,911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124,980</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Severance pay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295</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Restricted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3,327</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5,518</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732</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6,014</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31,833</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45,655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47,719</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203,566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t>172,699</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LIABILITIES AND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938</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9,254</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24,700</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348</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11,919</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69,931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47,159</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5,912</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5,392</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Accrued severance pay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b/>
              </w:rPr>
            </w:pPr>
            <w:r>
              <w:rPr>
                <w:b/>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pPr>
            <w:r>
              <w:rPr/>
              <w:t>12,190</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119,325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113,350</w:t>
            </w:r>
          </w:p>
        </w:tc>
        <w:tc>
          <w:tcPr>
            <w:tcW w:w="76" w:type="dxa"/>
            <w:tcBorders/>
            <w:shd w:fill="FFFFFF" w:val="clear"/>
            <w:vAlign w:val="center"/>
          </w:tcPr>
          <w:p>
            <w:pPr>
              <w:pStyle w:val="TableContents"/>
              <w:bidi w:val="0"/>
              <w:spacing w:before="0" w:after="283"/>
              <w:jc w:val="left"/>
              <w:rPr/>
            </w:pPr>
            <w:r>
              <w:rPr/>
              <w:t> </w:t>
            </w:r>
          </w:p>
        </w:tc>
      </w:tr>
      <w:tr>
        <w:trPr/>
        <w:tc>
          <w:tcPr>
            <w:tcW w:w="7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64" w:type="dxa"/>
            <w:tcBorders/>
            <w:shd w:fill="FFFFFF" w:val="clear"/>
            <w:vAlign w:val="center"/>
          </w:tcPr>
          <w:p>
            <w:pPr>
              <w:pStyle w:val="TableContents"/>
              <w:bidi w:val="0"/>
              <w:spacing w:before="0" w:after="283"/>
              <w:jc w:val="both"/>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203,566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pPr>
            <w:r>
              <w:rPr/>
              <w:t>172,699</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ALLOT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3830"/>
        <w:gridCol w:w="60"/>
        <w:gridCol w:w="140"/>
        <w:gridCol w:w="1100"/>
        <w:gridCol w:w="60"/>
        <w:gridCol w:w="60"/>
        <w:gridCol w:w="140"/>
        <w:gridCol w:w="1100"/>
        <w:gridCol w:w="95"/>
        <w:gridCol w:w="60"/>
        <w:gridCol w:w="140"/>
        <w:gridCol w:w="1100"/>
        <w:gridCol w:w="60"/>
        <w:gridCol w:w="60"/>
        <w:gridCol w:w="140"/>
        <w:gridCol w:w="1100"/>
        <w:gridCol w:w="110"/>
      </w:tblGrid>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47,201</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13,823</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33,378</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Research and development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13,252</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14,599</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6,643</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34,494</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(1,116</w:t>
            </w:r>
          </w:p>
        </w:tc>
        <w:tc>
          <w:tcPr>
            <w:tcW w:w="11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both"/>
              <w:rPr/>
            </w:pPr>
            <w:r>
              <w:rPr/>
              <w:t>Loss from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w:t>
            </w:r>
          </w:p>
        </w:tc>
        <w:tc>
          <w:tcPr>
            <w:tcW w:w="11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1,033</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Income (loss) before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(1,393</w:t>
            </w:r>
          </w:p>
        </w:tc>
        <w:tc>
          <w:tcPr>
            <w:tcW w:w="11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both"/>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(2,021</w:t>
            </w:r>
          </w:p>
        </w:tc>
        <w:tc>
          <w:tcPr>
            <w:tcW w:w="11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 </w:t>
            </w: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11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both"/>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(0.05</w:t>
            </w:r>
          </w:p>
        </w:tc>
        <w:tc>
          <w:tcPr>
            <w:tcW w:w="11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 </w:t>
            </w: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49,151,073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40,140,875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48,965,108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39,944,413</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49,832,577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40,140,875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49,864,006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39,944,413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ALLOT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39"/>
        <w:gridCol w:w="60"/>
        <w:gridCol w:w="150"/>
        <w:gridCol w:w="813"/>
        <w:gridCol w:w="101"/>
        <w:gridCol w:w="64"/>
        <w:gridCol w:w="150"/>
        <w:gridCol w:w="813"/>
        <w:gridCol w:w="95"/>
        <w:gridCol w:w="60"/>
        <w:gridCol w:w="140"/>
        <w:gridCol w:w="755"/>
        <w:gridCol w:w="95"/>
        <w:gridCol w:w="60"/>
        <w:gridCol w:w="140"/>
        <w:gridCol w:w="755"/>
        <w:gridCol w:w="115"/>
      </w:tblGrid>
      <w:tr>
        <w:trPr/>
        <w:tc>
          <w:tcPr>
            <w:tcW w:w="5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1"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5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5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63"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u w:val="single"/>
              </w:rPr>
            </w:pPr>
            <w:r>
              <w:rPr>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2,573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(1,690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(2,021</w:t>
            </w:r>
          </w:p>
        </w:tc>
        <w:tc>
          <w:tcPr>
            <w:tcW w:w="115" w:type="dxa"/>
            <w:tcBorders/>
            <w:shd w:fill="CCEEFF" w:val="clear"/>
            <w:vAlign w:val="center"/>
          </w:tcPr>
          <w:p>
            <w:pPr>
              <w:pStyle w:val="TableContents"/>
              <w:bidi w:val="0"/>
              <w:spacing w:before="0" w:after="283"/>
              <w:jc w:val="left"/>
              <w:rPr/>
            </w:pPr>
            <w:r>
              <w:rPr/>
              <w:t>)</w:t>
            </w:r>
          </w:p>
        </w:tc>
      </w:tr>
      <w:tr>
        <w:trPr/>
        <w:tc>
          <w:tcPr>
            <w:tcW w:w="5839" w:type="dxa"/>
            <w:tcBorders/>
            <w:shd w:fill="FFFFFF" w:val="clear"/>
            <w:vAlign w:val="center"/>
          </w:tcPr>
          <w:p>
            <w:pPr>
              <w:pStyle w:val="TableContents"/>
              <w:bidi w:val="0"/>
              <w:spacing w:before="0" w:after="283"/>
              <w:jc w:val="both"/>
              <w:rPr>
                <w:u w:val="single"/>
              </w:rPr>
            </w:pPr>
            <w:r>
              <w:rPr>
                <w:u w:val="single"/>
              </w:rPr>
              <w:t>Adjustments to reconcile net income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686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2,419</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1,643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2,430</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Capital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Loss from extinguishment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1,410</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115" w:type="dxa"/>
            <w:tcBorders/>
            <w:shd w:fill="CCEEFF" w:val="clear"/>
            <w:vAlign w:val="center"/>
          </w:tcPr>
          <w:p>
            <w:pPr>
              <w:pStyle w:val="TableContents"/>
              <w:bidi w:val="0"/>
              <w:spacing w:before="0" w:after="283"/>
              <w:jc w:val="left"/>
              <w:rPr/>
            </w:pPr>
            <w:r>
              <w:rPr/>
              <w:t>)</w:t>
            </w:r>
          </w:p>
        </w:tc>
      </w:tr>
      <w:tr>
        <w:trPr/>
        <w:tc>
          <w:tcPr>
            <w:tcW w:w="5839" w:type="dxa"/>
            <w:tcBorders/>
            <w:shd w:fill="FFFFFF" w:val="clear"/>
            <w:vAlign w:val="center"/>
          </w:tcPr>
          <w:p>
            <w:pPr>
              <w:pStyle w:val="TableContents"/>
              <w:bidi w:val="0"/>
              <w:spacing w:before="0" w:after="283"/>
              <w:jc w:val="left"/>
              <w:rPr/>
            </w:pPr>
            <w:r>
              <w:rPr/>
              <w:t>Amortization of premium, discount and accrued interest on marketable securities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(211</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(521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(862</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pPr>
            <w:r>
              <w:rPr/>
              <w:t>Financial income from lease modification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(1,158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Loss (gain) on foreign exchange on cash and cash equivalents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(409</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u w:val="single"/>
              </w:rPr>
            </w:pPr>
            <w:r>
              <w:rPr>
                <w:u w:val="single"/>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(Decrease) increase in accrued severance pay,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(250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Decrease (increase) in other assets, other receivables and prepaid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501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1,619</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Decrease (increase) in operating leases liability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449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pPr>
            <w:r>
              <w:rPr/>
              <w:t>Increase in operating lease right-of-use asset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446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579</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Increase in trade receivables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(4,626</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(3,653</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pPr>
            <w:r>
              <w:rPr/>
              <w:t>(Increase) decrease in inventories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(1,741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106</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Increase (decrease) in trade payables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pPr>
            <w:r>
              <w:rPr/>
              <w:t>Increase (decrease) in employees and payroll accruals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875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573</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Increase in deferred revenues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8,367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2,536</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Increase (decrease) in other payables and accrued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922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914</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b/>
              </w:rPr>
            </w:pPr>
            <w:r>
              <w:rPr>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8,466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3,985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5,660</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u w:val="single"/>
              </w:rPr>
            </w:pPr>
            <w:r>
              <w:rPr>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(Increase) decrease in restricted deposit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(403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353</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Investment in short-term bank deposits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(20,900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(7,050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(15,750</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pPr>
            <w:r>
              <w:rPr/>
              <w:t>Withdrawal of short-term bank deposits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11,600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19,950</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(269</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(689</w:t>
            </w:r>
          </w:p>
        </w:tc>
        <w:tc>
          <w:tcPr>
            <w:tcW w:w="115" w:type="dxa"/>
            <w:tcBorders/>
            <w:shd w:fill="FFFFFF" w:val="clear"/>
            <w:vAlign w:val="center"/>
          </w:tcPr>
          <w:p>
            <w:pPr>
              <w:pStyle w:val="TableContents"/>
              <w:bidi w:val="0"/>
              <w:spacing w:before="0" w:after="283"/>
              <w:jc w:val="left"/>
              <w:rPr/>
            </w:pPr>
            <w:r>
              <w:rPr/>
              <w:t>)</w:t>
            </w:r>
          </w:p>
        </w:tc>
      </w:tr>
      <w:tr>
        <w:trPr/>
        <w:tc>
          <w:tcPr>
            <w:tcW w:w="5839" w:type="dxa"/>
            <w:tcBorders/>
            <w:shd w:fill="CCEEFF" w:val="clear"/>
            <w:vAlign w:val="center"/>
          </w:tcPr>
          <w:p>
            <w:pPr>
              <w:pStyle w:val="TableContents"/>
              <w:bidi w:val="0"/>
              <w:spacing w:before="0" w:after="283"/>
              <w:jc w:val="both"/>
              <w:rPr/>
            </w:pPr>
            <w:r>
              <w:rPr/>
              <w:t>Investment in marketable securities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(4,589</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(26,458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(55,434</w:t>
            </w:r>
          </w:p>
        </w:tc>
        <w:tc>
          <w:tcPr>
            <w:tcW w:w="115" w:type="dxa"/>
            <w:tcBorders/>
            <w:shd w:fill="CCEEFF" w:val="clear"/>
            <w:vAlign w:val="center"/>
          </w:tcPr>
          <w:p>
            <w:pPr>
              <w:pStyle w:val="TableContents"/>
              <w:bidi w:val="0"/>
              <w:spacing w:before="0" w:after="283"/>
              <w:jc w:val="left"/>
              <w:rPr/>
            </w:pPr>
            <w:r>
              <w:rPr/>
              <w:t>)</w:t>
            </w:r>
          </w:p>
        </w:tc>
      </w:tr>
      <w:tr>
        <w:trPr/>
        <w:tc>
          <w:tcPr>
            <w:tcW w:w="5839" w:type="dxa"/>
            <w:tcBorders/>
            <w:shd w:fill="FFFFFF" w:val="clear"/>
            <w:vAlign w:val="center"/>
          </w:tcPr>
          <w:p>
            <w:pPr>
              <w:pStyle w:val="TableContents"/>
              <w:bidi w:val="0"/>
              <w:spacing w:before="0" w:after="283"/>
              <w:jc w:val="both"/>
              <w:rPr/>
            </w:pPr>
            <w:r>
              <w:rPr/>
              <w:t>Proceeds from redemption or sale of marketable securities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6,750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27,283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49,683</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Proceeds from sale of patent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b/>
              </w:rPr>
            </w:pPr>
            <w:r>
              <w:rPr>
                <w:b/>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(7,811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(22,357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(1,787</w:t>
            </w:r>
          </w:p>
        </w:tc>
        <w:tc>
          <w:tcPr>
            <w:tcW w:w="115" w:type="dxa"/>
            <w:tcBorders/>
            <w:shd w:fill="CCEEFF" w:val="clear"/>
            <w:vAlign w:val="center"/>
          </w:tcPr>
          <w:p>
            <w:pPr>
              <w:pStyle w:val="TableContents"/>
              <w:bidi w:val="0"/>
              <w:spacing w:before="0" w:after="283"/>
              <w:jc w:val="left"/>
              <w:rPr/>
            </w:pPr>
            <w:r>
              <w:rPr/>
              <w:t>)</w:t>
            </w:r>
          </w:p>
        </w:tc>
      </w:tr>
      <w:tr>
        <w:trPr/>
        <w:tc>
          <w:tcPr>
            <w:tcW w:w="583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Issuance of share capital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37,691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37,691</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Exercise of employee stock options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238</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Redemption of convertible debt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(31,410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(31,410</w:t>
            </w:r>
          </w:p>
        </w:tc>
        <w:tc>
          <w:tcPr>
            <w:tcW w:w="115" w:type="dxa"/>
            <w:tcBorders/>
            <w:shd w:fill="CCEEFF" w:val="clear"/>
            <w:vAlign w:val="center"/>
          </w:tcPr>
          <w:p>
            <w:pPr>
              <w:pStyle w:val="TableContents"/>
              <w:bidi w:val="0"/>
              <w:spacing w:before="0" w:after="283"/>
              <w:jc w:val="left"/>
              <w:rPr/>
            </w:pPr>
            <w:r>
              <w:rPr/>
              <w:t>)</w:t>
            </w:r>
          </w:p>
        </w:tc>
      </w:tr>
      <w:tr>
        <w:trPr/>
        <w:tc>
          <w:tcPr>
            <w:tcW w:w="583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6,519</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b/>
              </w:rPr>
            </w:pPr>
            <w:r>
              <w:rPr>
                <w:b/>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643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16,882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10,801</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13,116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10,061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16,142</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b/>
              </w:rPr>
            </w:pPr>
            <w:r>
              <w:rPr>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pPr>
            <w:r>
              <w:rPr/>
              <w:t>13,759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pPr>
            <w:r>
              <w:rPr/>
              <w:t>26,943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26,943</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839" w:type="dxa"/>
            <w:tcBorders/>
            <w:shd w:fill="FFFFFF" w:val="clear"/>
            <w:vAlign w:val="center"/>
          </w:tcPr>
          <w:p>
            <w:pPr>
              <w:pStyle w:val="TableContents"/>
              <w:bidi w:val="0"/>
              <w:spacing w:before="0" w:after="283"/>
              <w:jc w:val="both"/>
              <w:rPr>
                <w:u w:val="single"/>
              </w:rPr>
            </w:pPr>
            <w:r>
              <w:rPr>
                <w:u w:val="single"/>
              </w:rPr>
              <w:t>Non-cash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839" w:type="dxa"/>
            <w:tcBorders/>
            <w:shd w:fill="CCEEFF" w:val="clear"/>
            <w:vAlign w:val="center"/>
          </w:tcPr>
          <w:p>
            <w:pPr>
              <w:pStyle w:val="TableContents"/>
              <w:bidi w:val="0"/>
              <w:spacing w:before="0" w:after="283"/>
              <w:jc w:val="both"/>
              <w:rPr/>
            </w:pPr>
            <w:r>
              <w:rPr/>
              <w:t>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593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w:t>
            </w:r>
          </w:p>
        </w:tc>
        <w:tc>
          <w:tcPr>
            <w:tcW w:w="115" w:type="dxa"/>
            <w:tcBorders/>
            <w:shd w:fill="CCEEFF" w:val="clear"/>
            <w:vAlign w:val="center"/>
          </w:tcPr>
          <w:p>
            <w:pPr>
              <w:pStyle w:val="TableContents"/>
              <w:bidi w:val="0"/>
              <w:spacing w:before="0" w:after="283"/>
              <w:jc w:val="left"/>
              <w:rPr/>
            </w:pPr>
            <w:r>
              <w:rPr/>
              <w:t>)</w:t>
            </w:r>
          </w:p>
        </w:tc>
      </w:tr>
      <w:tr>
        <w:trPr/>
        <w:tc>
          <w:tcPr>
            <w:tcW w:w="5839" w:type="dxa"/>
            <w:tcBorders/>
            <w:shd w:fill="FFFFFF" w:val="clear"/>
            <w:vAlign w:val="center"/>
          </w:tcPr>
          <w:p>
            <w:pPr>
              <w:pStyle w:val="TableContents"/>
              <w:bidi w:val="0"/>
              <w:spacing w:before="0" w:after="283"/>
              <w:jc w:val="both"/>
              <w:rPr/>
            </w:pPr>
            <w:r>
              <w:rPr/>
              <w:t>Redemption of convertible debt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(10,000</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ALLOT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b/>
              </w:rPr>
            </w:pPr>
            <w:r>
              <w:rPr>
                <w:b/>
              </w:rPr>
              <w:t>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13,823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both"/>
              <w:rPr/>
            </w:pPr>
            <w:r>
              <w:rPr/>
              <w:t> </w:t>
            </w: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b/>
              </w:rPr>
            </w:pPr>
            <w:r>
              <w:rPr>
                <w:b/>
              </w:rPr>
              <w:t>Non-GAAP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13,264</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b/>
              </w:rPr>
              <w:t>GAAP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38,510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33,378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t>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b/>
              </w:rPr>
              <w:t>Non-GAAP 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33,937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b/>
              </w:rPr>
              <w:t>GAAP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34,494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Share-based compensation - Research and development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(622</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both"/>
              <w:rPr/>
            </w:pPr>
            <w:r>
              <w:rPr/>
              <w:t> </w:t>
            </w:r>
            <w:r>
              <w:rPr/>
              <w:t>Share-based compensation - 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 </w:t>
            </w:r>
            <w:r>
              <w:rPr/>
              <w:t>Share-based compensation -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(783</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both"/>
              <w:rPr/>
            </w:pPr>
            <w:r>
              <w:rPr/>
              <w:t> </w:t>
            </w:r>
            <w:r>
              <w:rPr>
                <w:b/>
              </w:rPr>
              <w:t>Non-GAAP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32,318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b/>
              </w:rPr>
              <w:t>GAAP 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(1,116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 </w:t>
            </w:r>
            <w:r>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2,430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b/>
              </w:rPr>
              <w:t>Non-GAAP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1,619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b/>
              </w:rPr>
              <w:t>GAAP 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(1,690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(2,021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both"/>
              <w:rPr/>
            </w:pPr>
            <w:r>
              <w:rPr/>
              <w:t> </w:t>
            </w:r>
            <w:r>
              <w:rPr/>
              <w:t>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t>Loss from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Exchange rate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t>Changes in tax related items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b/>
              </w:rPr>
              <w:t>Non-GAAP 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2,237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b/>
              </w:rPr>
              <w:t>Non-GAAP income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0.05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b/>
              </w:rPr>
            </w:pPr>
            <w:r>
              <w:rPr>
                <w:b/>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49,151,073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40,140,875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48,965,108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39,944,413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51,131,093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43,794,580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51,049,850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43,750,663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Financial income or expenses related to exchange rate differences in connection with revaluation of assets and liabilities in non-dollar denominated currencies.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65" w:type="dxa"/>
        <w:jc w:val="left"/>
        <w:tblInd w:w="0" w:type="dxa"/>
        <w:tblLayout w:type="fixed"/>
        <w:tblCellMar>
          <w:top w:w="0" w:type="dxa"/>
          <w:left w:w="0" w:type="dxa"/>
          <w:bottom w:w="0" w:type="dxa"/>
          <w:right w:w="0" w:type="dxa"/>
        </w:tblCellMar>
      </w:tblPr>
      <w:tblGrid>
        <w:gridCol w:w="3620"/>
        <w:gridCol w:w="120"/>
        <w:gridCol w:w="120"/>
        <w:gridCol w:w="500"/>
        <w:gridCol w:w="275"/>
        <w:gridCol w:w="120"/>
        <w:gridCol w:w="120"/>
        <w:gridCol w:w="440"/>
        <w:gridCol w:w="275"/>
        <w:gridCol w:w="120"/>
        <w:gridCol w:w="120"/>
        <w:gridCol w:w="620"/>
        <w:gridCol w:w="275"/>
        <w:gridCol w:w="120"/>
        <w:gridCol w:w="120"/>
        <w:gridCol w:w="440"/>
        <w:gridCol w:w="275"/>
        <w:gridCol w:w="120"/>
        <w:gridCol w:w="120"/>
        <w:gridCol w:w="500"/>
        <w:gridCol w:w="275"/>
        <w:gridCol w:w="120"/>
        <w:gridCol w:w="120"/>
        <w:gridCol w:w="440"/>
        <w:gridCol w:w="290"/>
      </w:tblGrid>
      <w:tr>
        <w:trPr/>
        <w:tc>
          <w:tcPr>
            <w:tcW w:w="9665" w:type="dxa"/>
            <w:gridSpan w:val="25"/>
            <w:tcBorders/>
            <w:vAlign w:val="center"/>
          </w:tcPr>
          <w:p>
            <w:pPr>
              <w:pStyle w:val="TableContents"/>
              <w:bidi w:val="0"/>
              <w:spacing w:before="0" w:after="283"/>
              <w:jc w:val="both"/>
              <w:rPr>
                <w:b/>
                <w:u w:val="single"/>
              </w:rPr>
            </w:pPr>
            <w:r>
              <w:rPr>
                <w:b/>
                <w:u w:val="single"/>
              </w:rPr>
              <w:t>Other financial metrics (Unaudited)</w:t>
            </w:r>
          </w:p>
        </w:tc>
      </w:tr>
      <w:tr>
        <w:trPr/>
        <w:tc>
          <w:tcPr>
            <w:tcW w:w="9665" w:type="dxa"/>
            <w:gridSpan w:val="25"/>
            <w:tcBorders/>
            <w:tcMar>
              <w:top w:w="30" w:type="dxa"/>
              <w:left w:w="30" w:type="dxa"/>
              <w:bottom w:w="30" w:type="dxa"/>
              <w:right w:w="30" w:type="dxa"/>
            </w:tcMar>
            <w:vAlign w:val="center"/>
          </w:tcPr>
          <w:p>
            <w:pPr>
              <w:pStyle w:val="TableContents"/>
              <w:bidi w:val="0"/>
              <w:spacing w:before="0" w:after="283"/>
              <w:jc w:val="both"/>
              <w:rPr/>
            </w:pPr>
            <w:r>
              <w:rPr/>
              <w:t>U.S. dollars in millions, except top 10 customers as a % of revenues and number of shares</w:t>
            </w:r>
          </w:p>
        </w:tc>
      </w:tr>
      <w:tr>
        <w:trPr/>
        <w:tc>
          <w:tcPr>
            <w:tcW w:w="3620" w:type="dxa"/>
            <w:tcBorders/>
            <w:tcMar>
              <w:top w:w="30" w:type="dxa"/>
              <w:left w:w="30" w:type="dxa"/>
              <w:bottom w:w="30" w:type="dxa"/>
              <w:right w:w="30" w:type="dxa"/>
            </w:tcMar>
            <w:vAlign w:val="center"/>
          </w:tcPr>
          <w:p>
            <w:pPr>
              <w:pStyle w:val="TableContents"/>
              <w:bidi w:val="0"/>
              <w:spacing w:before="0" w:after="283"/>
              <w:jc w:val="both"/>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20" w:type="dxa"/>
            <w:gridSpan w:val="2"/>
            <w:tcBorders/>
            <w:tcMar>
              <w:top w:w="30" w:type="dxa"/>
              <w:left w:w="30" w:type="dxa"/>
              <w:bottom w:w="30" w:type="dxa"/>
              <w:right w:w="30" w:type="dxa"/>
            </w:tcMar>
            <w:vAlign w:val="center"/>
          </w:tcPr>
          <w:p>
            <w:pPr>
              <w:pStyle w:val="TableContents"/>
              <w:bidi w:val="0"/>
              <w:spacing w:before="0" w:after="283"/>
              <w:jc w:val="both"/>
              <w:rPr/>
            </w:pPr>
            <w:r>
              <w:rPr/>
              <w:t> </w:t>
            </w:r>
          </w:p>
        </w:tc>
        <w:tc>
          <w:tcPr>
            <w:tcW w:w="27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gridSpan w:val="2"/>
            <w:tcBorders/>
            <w:tcMar>
              <w:top w:w="30" w:type="dxa"/>
              <w:left w:w="30" w:type="dxa"/>
              <w:bottom w:w="30" w:type="dxa"/>
              <w:right w:w="30" w:type="dxa"/>
            </w:tcMar>
            <w:vAlign w:val="center"/>
          </w:tcPr>
          <w:p>
            <w:pPr>
              <w:pStyle w:val="TableContents"/>
              <w:bidi w:val="0"/>
              <w:spacing w:before="0" w:after="283"/>
              <w:jc w:val="left"/>
              <w:rPr/>
            </w:pPr>
            <w:r>
              <w:rPr/>
              <w:t> </w:t>
            </w:r>
          </w:p>
        </w:tc>
        <w:tc>
          <w:tcPr>
            <w:tcW w:w="27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gridSpan w:val="2"/>
            <w:tcBorders/>
            <w:tcMar>
              <w:top w:w="30" w:type="dxa"/>
              <w:left w:w="30" w:type="dxa"/>
              <w:bottom w:w="30" w:type="dxa"/>
              <w:right w:w="30" w:type="dxa"/>
            </w:tcMar>
            <w:vAlign w:val="center"/>
          </w:tcPr>
          <w:p>
            <w:pPr>
              <w:pStyle w:val="TableContents"/>
              <w:bidi w:val="0"/>
              <w:spacing w:before="0" w:after="283"/>
              <w:jc w:val="left"/>
              <w:rPr/>
            </w:pPr>
            <w:r>
              <w:rPr/>
              <w:t> </w:t>
            </w:r>
          </w:p>
        </w:tc>
        <w:tc>
          <w:tcPr>
            <w:tcW w:w="27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gridSpan w:val="2"/>
            <w:tcBorders/>
            <w:tcMar>
              <w:top w:w="30" w:type="dxa"/>
              <w:left w:w="30" w:type="dxa"/>
              <w:bottom w:w="30" w:type="dxa"/>
              <w:right w:w="30" w:type="dxa"/>
            </w:tcMar>
            <w:vAlign w:val="center"/>
          </w:tcPr>
          <w:p>
            <w:pPr>
              <w:pStyle w:val="TableContents"/>
              <w:bidi w:val="0"/>
              <w:spacing w:before="0" w:after="283"/>
              <w:jc w:val="left"/>
              <w:rPr/>
            </w:pPr>
            <w:r>
              <w:rPr/>
              <w:t> </w:t>
            </w:r>
          </w:p>
        </w:tc>
        <w:tc>
          <w:tcPr>
            <w:tcW w:w="27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20" w:type="dxa"/>
            <w:gridSpan w:val="2"/>
            <w:tcBorders/>
            <w:tcMar>
              <w:top w:w="30" w:type="dxa"/>
              <w:left w:w="30" w:type="dxa"/>
              <w:bottom w:w="30" w:type="dxa"/>
              <w:right w:w="30" w:type="dxa"/>
            </w:tcMar>
            <w:vAlign w:val="center"/>
          </w:tcPr>
          <w:p>
            <w:pPr>
              <w:pStyle w:val="TableContents"/>
              <w:bidi w:val="0"/>
              <w:spacing w:before="0" w:after="283"/>
              <w:jc w:val="left"/>
              <w:rPr/>
            </w:pPr>
            <w:r>
              <w:rPr/>
              <w:t> </w:t>
            </w:r>
          </w:p>
        </w:tc>
        <w:tc>
          <w:tcPr>
            <w:tcW w:w="27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gridSpan w:val="2"/>
            <w:tcBorders/>
            <w:tcMar>
              <w:top w:w="30" w:type="dxa"/>
              <w:left w:w="30" w:type="dxa"/>
              <w:bottom w:w="30" w:type="dxa"/>
              <w:right w:w="30" w:type="dxa"/>
            </w:tcMar>
            <w:vAlign w:val="center"/>
          </w:tcPr>
          <w:p>
            <w:pPr>
              <w:pStyle w:val="TableContents"/>
              <w:bidi w:val="0"/>
              <w:spacing w:before="0" w:after="283"/>
              <w:jc w:val="left"/>
              <w:rPr/>
            </w:pPr>
            <w:r>
              <w:rPr/>
              <w:t> </w:t>
            </w:r>
          </w:p>
        </w:tc>
        <w:tc>
          <w:tcPr>
            <w:tcW w:w="290"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3620" w:type="dxa"/>
            <w:tcBorders/>
            <w:tcMar>
              <w:top w:w="30" w:type="dxa"/>
              <w:left w:w="30" w:type="dxa"/>
              <w:bottom w:w="30" w:type="dxa"/>
              <w:right w:w="30" w:type="dxa"/>
            </w:tcMar>
            <w:vAlign w:val="center"/>
          </w:tcPr>
          <w:p>
            <w:pPr>
              <w:pStyle w:val="TableContents"/>
              <w:bidi w:val="0"/>
              <w:spacing w:before="0" w:after="283"/>
              <w:jc w:val="both"/>
              <w:rPr/>
            </w:pPr>
            <w:r>
              <w:rPr/>
              <w:t> </w:t>
            </w:r>
          </w:p>
        </w:tc>
        <w:tc>
          <w:tcPr>
            <w:tcW w:w="120" w:type="dxa"/>
            <w:tcBorders/>
            <w:vAlign w:val="center"/>
          </w:tcPr>
          <w:p>
            <w:pPr>
              <w:pStyle w:val="TableContents"/>
              <w:bidi w:val="0"/>
              <w:spacing w:before="0" w:after="283"/>
              <w:jc w:val="left"/>
              <w:rPr/>
            </w:pPr>
            <w:r>
              <w:rPr/>
              <w:t> </w:t>
            </w:r>
          </w:p>
        </w:tc>
        <w:tc>
          <w:tcPr>
            <w:tcW w:w="15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Q2-26</w:t>
            </w:r>
          </w:p>
        </w:tc>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FY 2025</w:t>
            </w:r>
          </w:p>
        </w:tc>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FY 2024</w:t>
            </w:r>
          </w:p>
        </w:tc>
        <w:tc>
          <w:tcPr>
            <w:tcW w:w="290" w:type="dxa"/>
            <w:tcBorders/>
            <w:vAlign w:val="center"/>
          </w:tcPr>
          <w:p>
            <w:pPr>
              <w:pStyle w:val="TableContents"/>
              <w:bidi w:val="0"/>
              <w:spacing w:before="0" w:after="283"/>
              <w:jc w:val="left"/>
              <w:rPr/>
            </w:pPr>
            <w:r>
              <w:rPr/>
              <w:t> </w:t>
            </w:r>
          </w:p>
        </w:tc>
      </w:tr>
      <w:tr>
        <w:trPr/>
        <w:tc>
          <w:tcPr>
            <w:tcW w:w="3620" w:type="dxa"/>
            <w:tcBorders/>
            <w:shd w:fill="CCEEFF" w:val="clear"/>
            <w:tcMar>
              <w:top w:w="30" w:type="dxa"/>
              <w:left w:w="30" w:type="dxa"/>
              <w:bottom w:w="30" w:type="dxa"/>
              <w:right w:w="30" w:type="dxa"/>
            </w:tcMar>
            <w:vAlign w:val="center"/>
          </w:tcPr>
          <w:p>
            <w:pPr>
              <w:pStyle w:val="TableContents"/>
              <w:bidi w:val="0"/>
              <w:spacing w:before="0" w:after="283"/>
              <w:jc w:val="both"/>
              <w:rPr>
                <w:b/>
                <w:u w:val="single"/>
              </w:rPr>
            </w:pPr>
            <w:r>
              <w:rPr>
                <w:b/>
                <w:u w:val="single"/>
              </w:rPr>
              <w:t>Revenues geographic breakdown</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Americas</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8.5</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31</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FFFFFF" w:val="clear"/>
            <w:tcMar>
              <w:top w:w="30" w:type="dxa"/>
              <w:left w:w="30" w:type="dxa"/>
              <w:bottom w:w="30" w:type="dxa"/>
              <w:right w:w="30" w:type="dxa"/>
            </w:tcMar>
            <w:vAlign w:val="center"/>
          </w:tcPr>
          <w:p>
            <w:pPr>
              <w:pStyle w:val="TableContents"/>
              <w:bidi w:val="0"/>
              <w:spacing w:before="0" w:after="283"/>
              <w:jc w:val="right"/>
              <w:rPr/>
            </w:pPr>
            <w:r>
              <w:rPr/>
              <w:t>19.1</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19</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14.2</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15</w:t>
            </w:r>
          </w:p>
        </w:tc>
        <w:tc>
          <w:tcPr>
            <w:tcW w:w="290" w:type="dxa"/>
            <w:tcBorders/>
            <w:shd w:fill="FFFFFF" w:val="clear"/>
            <w:tcMar>
              <w:top w:w="30" w:type="dxa"/>
              <w:left w:w="30" w:type="dxa"/>
              <w:bottom w:w="30" w:type="dxa"/>
              <w:right w:w="30" w:type="dxa"/>
            </w:tcM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EMEA</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13.4</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48</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63.7</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62</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54.0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59</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Asia Pacific</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27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275"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pPr>
            <w:r>
              <w:rPr/>
              <w:t>19.2</w:t>
            </w:r>
          </w:p>
        </w:tc>
        <w:tc>
          <w:tcPr>
            <w:tcW w:w="27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275"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27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290" w:type="dxa"/>
            <w:tcBorders/>
            <w:shd w:fill="FFFFFF" w:val="clear"/>
            <w:vAlign w:val="center"/>
          </w:tcPr>
          <w:p>
            <w:pPr>
              <w:pStyle w:val="TableContents"/>
              <w:bidi w:val="0"/>
              <w:spacing w:before="0" w:after="283"/>
              <w:jc w:val="left"/>
              <w:rPr/>
            </w:pPr>
            <w:r>
              <w:rPr/>
              <w:t>%</w:t>
            </w:r>
          </w:p>
        </w:tc>
      </w:tr>
      <w:tr>
        <w:trPr/>
        <w:tc>
          <w:tcPr>
            <w:tcW w:w="3620" w:type="dxa"/>
            <w:tcBorders/>
            <w:shd w:fill="CCEEFF" w:val="clear"/>
            <w:tcMar>
              <w:top w:w="30" w:type="dxa"/>
              <w:left w:w="30" w:type="dxa"/>
              <w:bottom w:w="30" w:type="dxa"/>
              <w:right w:w="30" w:type="dxa"/>
            </w:tcMar>
            <w:vAlign w:val="center"/>
          </w:tcPr>
          <w:p>
            <w:pPr>
              <w:pStyle w:val="TableContents"/>
              <w:bidi w:val="0"/>
              <w:spacing w:before="0" w:after="283"/>
              <w:jc w:val="both"/>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27.7</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102.0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92.2</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100</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r>
      <w:tr>
        <w:trPr/>
        <w:tc>
          <w:tcPr>
            <w:tcW w:w="3620" w:type="dxa"/>
            <w:tcBorders/>
            <w:shd w:fill="FFFFFF" w:val="clear"/>
            <w:tcMar>
              <w:top w:w="30" w:type="dxa"/>
              <w:left w:w="30" w:type="dxa"/>
              <w:bottom w:w="30" w:type="dxa"/>
              <w:right w:w="30" w:type="dxa"/>
            </w:tcMar>
            <w:vAlign w:val="center"/>
          </w:tcPr>
          <w:p>
            <w:pPr>
              <w:pStyle w:val="TableContents"/>
              <w:bidi w:val="0"/>
              <w:spacing w:before="0" w:after="283"/>
              <w:jc w:val="both"/>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9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620" w:type="dxa"/>
            <w:tcBorders/>
            <w:shd w:fill="CCEEFF" w:val="clear"/>
            <w:tcMar>
              <w:top w:w="30" w:type="dxa"/>
              <w:left w:w="30" w:type="dxa"/>
              <w:bottom w:w="30" w:type="dxa"/>
              <w:right w:w="30" w:type="dxa"/>
            </w:tcMar>
            <w:vAlign w:val="center"/>
          </w:tcPr>
          <w:p>
            <w:pPr>
              <w:pStyle w:val="TableContents"/>
              <w:bidi w:val="0"/>
              <w:spacing w:before="0" w:after="283"/>
              <w:jc w:val="both"/>
              <w:rPr>
                <w:b/>
                <w:u w:val="single"/>
              </w:rPr>
            </w:pPr>
            <w:r>
              <w:rPr>
                <w:b/>
                <w:u w:val="single"/>
              </w:rPr>
              <w:t>Revenues breakdown by type</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SECaaS (Security as a Service)</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9.4</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34</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FFFFFF" w:val="clear"/>
            <w:tcMar>
              <w:top w:w="30" w:type="dxa"/>
              <w:left w:w="30" w:type="dxa"/>
              <w:bottom w:w="30" w:type="dxa"/>
              <w:right w:w="30" w:type="dxa"/>
            </w:tcMar>
            <w:vAlign w:val="center"/>
          </w:tcPr>
          <w:p>
            <w:pPr>
              <w:pStyle w:val="TableContents"/>
              <w:bidi w:val="0"/>
              <w:spacing w:before="0" w:after="283"/>
              <w:jc w:val="right"/>
              <w:rPr/>
            </w:pPr>
            <w:r>
              <w:rPr/>
              <w:t>26.8</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26</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16.5</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18</w:t>
            </w:r>
          </w:p>
        </w:tc>
        <w:tc>
          <w:tcPr>
            <w:tcW w:w="290" w:type="dxa"/>
            <w:tcBorders/>
            <w:shd w:fill="FFFFFF" w:val="clear"/>
            <w:tcMar>
              <w:top w:w="30" w:type="dxa"/>
              <w:left w:w="30" w:type="dxa"/>
              <w:bottom w:w="30" w:type="dxa"/>
              <w:right w:w="30" w:type="dxa"/>
            </w:tcM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Products &amp; Professional Services</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9.1</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33</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39.3</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38</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38.4</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42</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Support &amp; Maintenance</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pPr>
            <w:r>
              <w:rPr/>
              <w:t>9.2</w:t>
            </w:r>
          </w:p>
        </w:tc>
        <w:tc>
          <w:tcPr>
            <w:tcW w:w="27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275"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pPr>
            <w:r>
              <w:rPr/>
              <w:t>35.9</w:t>
            </w:r>
          </w:p>
        </w:tc>
        <w:tc>
          <w:tcPr>
            <w:tcW w:w="27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275"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pPr>
            <w:r>
              <w:rPr/>
              <w:t>37.3</w:t>
            </w:r>
          </w:p>
        </w:tc>
        <w:tc>
          <w:tcPr>
            <w:tcW w:w="27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40</w:t>
            </w:r>
          </w:p>
        </w:tc>
        <w:tc>
          <w:tcPr>
            <w:tcW w:w="290" w:type="dxa"/>
            <w:tcBorders/>
            <w:shd w:fill="FFFFFF" w:val="clear"/>
            <w:vAlign w:val="center"/>
          </w:tcPr>
          <w:p>
            <w:pPr>
              <w:pStyle w:val="TableContents"/>
              <w:bidi w:val="0"/>
              <w:spacing w:before="0" w:after="283"/>
              <w:jc w:val="left"/>
              <w:rPr/>
            </w:pPr>
            <w:r>
              <w:rPr/>
              <w:t>%</w:t>
            </w:r>
          </w:p>
        </w:tc>
      </w:tr>
      <w:tr>
        <w:trPr/>
        <w:tc>
          <w:tcPr>
            <w:tcW w:w="3620" w:type="dxa"/>
            <w:tcBorders/>
            <w:shd w:fill="CCEEFF" w:val="clear"/>
            <w:tcMar>
              <w:top w:w="30" w:type="dxa"/>
              <w:left w:w="30" w:type="dxa"/>
              <w:bottom w:w="30" w:type="dxa"/>
              <w:right w:w="30" w:type="dxa"/>
            </w:tcMar>
            <w:vAlign w:val="center"/>
          </w:tcPr>
          <w:p>
            <w:pPr>
              <w:pStyle w:val="TableContents"/>
              <w:bidi w:val="0"/>
              <w:spacing w:before="0" w:after="283"/>
              <w:jc w:val="both"/>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27.7</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102.0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100</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92.2</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100</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r>
      <w:tr>
        <w:trPr/>
        <w:tc>
          <w:tcPr>
            <w:tcW w:w="3620" w:type="dxa"/>
            <w:tcBorders/>
            <w:shd w:fill="FFFFFF" w:val="clear"/>
            <w:tcMar>
              <w:top w:w="30" w:type="dxa"/>
              <w:left w:w="30" w:type="dxa"/>
              <w:bottom w:w="30" w:type="dxa"/>
              <w:right w:w="30" w:type="dxa"/>
            </w:tcMar>
            <w:vAlign w:val="center"/>
          </w:tcPr>
          <w:p>
            <w:pPr>
              <w:pStyle w:val="TableContents"/>
              <w:bidi w:val="0"/>
              <w:spacing w:before="0" w:after="283"/>
              <w:jc w:val="both"/>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290"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620" w:type="dxa"/>
            <w:tcBorders/>
            <w:shd w:fill="CCEEFF" w:val="clear"/>
            <w:tcMar>
              <w:top w:w="30" w:type="dxa"/>
              <w:left w:w="30" w:type="dxa"/>
              <w:bottom w:w="30" w:type="dxa"/>
              <w:right w:w="30" w:type="dxa"/>
            </w:tcMar>
            <w:vAlign w:val="center"/>
          </w:tcPr>
          <w:p>
            <w:pPr>
              <w:pStyle w:val="TableContents"/>
              <w:bidi w:val="0"/>
              <w:spacing w:before="0" w:after="283"/>
              <w:jc w:val="both"/>
              <w:rPr/>
            </w:pPr>
            <w:r>
              <w:rPr/>
              <w:t>Top 10 customers as a % of revenues</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57</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620" w:type="dxa"/>
            <w:tcBorders/>
            <w:shd w:fill="CCEEFF" w:val="clear"/>
            <w:tcMar>
              <w:top w:w="30" w:type="dxa"/>
              <w:left w:w="30" w:type="dxa"/>
              <w:bottom w:w="30" w:type="dxa"/>
              <w:right w:w="30" w:type="dxa"/>
            </w:tcMar>
            <w:vAlign w:val="center"/>
          </w:tcPr>
          <w:p>
            <w:pPr>
              <w:pStyle w:val="TableContents"/>
              <w:bidi w:val="0"/>
              <w:spacing w:before="0" w:after="283"/>
              <w:jc w:val="right"/>
              <w:rPr/>
            </w:pPr>
            <w:r>
              <w:rPr/>
              <w:t>41</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500" w:type="dxa"/>
            <w:tcBorders/>
            <w:shd w:fill="CCEEFF" w:val="clear"/>
            <w:tcMar>
              <w:top w:w="30" w:type="dxa"/>
              <w:left w:w="30" w:type="dxa"/>
              <w:bottom w:w="30" w:type="dxa"/>
              <w:right w:w="30" w:type="dxa"/>
            </w:tcMar>
            <w:vAlign w:val="center"/>
          </w:tcPr>
          <w:p>
            <w:pPr>
              <w:pStyle w:val="TableContents"/>
              <w:bidi w:val="0"/>
              <w:spacing w:before="0" w:after="283"/>
              <w:jc w:val="right"/>
              <w:rPr/>
            </w:pPr>
            <w:r>
              <w:rPr/>
              <w:t>43</w:t>
            </w:r>
          </w:p>
        </w:tc>
        <w:tc>
          <w:tcPr>
            <w:tcW w:w="275" w:type="dxa"/>
            <w:tcBorders/>
            <w:shd w:fill="CCEEFF" w:val="clear"/>
            <w:tcMar>
              <w:top w:w="30" w:type="dxa"/>
              <w:left w:w="30" w:type="dxa"/>
              <w:bottom w:w="30" w:type="dxa"/>
              <w:right w:w="30" w:type="dxa"/>
            </w:tcMar>
            <w:vAlign w:val="center"/>
          </w:tcPr>
          <w:p>
            <w:pPr>
              <w:pStyle w:val="TableContents"/>
              <w:bidi w:val="0"/>
              <w:spacing w:before="0" w:after="283"/>
              <w:jc w:val="left"/>
              <w:rPr/>
            </w:pPr>
            <w:r>
              <w:rPr/>
              <w:t>%</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440"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290"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045"/>
        <w:gridCol w:w="319"/>
        <w:gridCol w:w="319"/>
        <w:gridCol w:w="1329"/>
        <w:gridCol w:w="319"/>
        <w:gridCol w:w="319"/>
        <w:gridCol w:w="319"/>
        <w:gridCol w:w="319"/>
        <w:gridCol w:w="319"/>
        <w:gridCol w:w="319"/>
        <w:gridCol w:w="319"/>
        <w:gridCol w:w="319"/>
        <w:gridCol w:w="359"/>
      </w:tblGrid>
      <w:tr>
        <w:trPr/>
        <w:tc>
          <w:tcPr>
            <w:tcW w:w="7923" w:type="dxa"/>
            <w:gridSpan w:val="13"/>
            <w:tcBorders/>
            <w:vAlign w:val="center"/>
          </w:tcPr>
          <w:p>
            <w:pPr>
              <w:pStyle w:val="TableContents"/>
              <w:bidi w:val="0"/>
              <w:spacing w:before="0" w:after="283"/>
              <w:jc w:val="both"/>
              <w:rPr>
                <w:b/>
                <w:u w:val="single"/>
              </w:rPr>
            </w:pPr>
            <w:r>
              <w:rPr>
                <w:b/>
                <w:u w:val="single"/>
              </w:rPr>
              <w:t>SECaaS (Security as a Service) revenues- U.S. dollars in millions (Unaudited)</w:t>
            </w:r>
          </w:p>
        </w:tc>
      </w:tr>
      <w:tr>
        <w:trPr/>
        <w:tc>
          <w:tcPr>
            <w:tcW w:w="304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648" w:type="dxa"/>
            <w:gridSpan w:val="2"/>
            <w:tcBorders/>
            <w:tcMar>
              <w:top w:w="30" w:type="dxa"/>
              <w:left w:w="30" w:type="dxa"/>
              <w:bottom w:w="30" w:type="dxa"/>
              <w:right w:w="30" w:type="dxa"/>
            </w:tcMar>
            <w:vAlign w:val="center"/>
          </w:tcPr>
          <w:p>
            <w:pPr>
              <w:pStyle w:val="TableContents"/>
              <w:bidi w:val="0"/>
              <w:spacing w:before="0" w:after="283"/>
              <w:jc w:val="both"/>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38" w:type="dxa"/>
            <w:gridSpan w:val="2"/>
            <w:tcBorders/>
            <w:tcMar>
              <w:top w:w="30" w:type="dxa"/>
              <w:left w:w="30" w:type="dxa"/>
              <w:bottom w:w="30" w:type="dxa"/>
              <w:right w:w="30" w:type="dxa"/>
            </w:tcMar>
            <w:vAlign w:val="center"/>
          </w:tcPr>
          <w:p>
            <w:pPr>
              <w:pStyle w:val="TableContents"/>
              <w:bidi w:val="0"/>
              <w:spacing w:before="0" w:after="283"/>
              <w:jc w:val="both"/>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38" w:type="dxa"/>
            <w:gridSpan w:val="2"/>
            <w:tcBorders/>
            <w:tcMar>
              <w:top w:w="30" w:type="dxa"/>
              <w:left w:w="30" w:type="dxa"/>
              <w:bottom w:w="30" w:type="dxa"/>
              <w:right w:w="30" w:type="dxa"/>
            </w:tcMar>
            <w:vAlign w:val="center"/>
          </w:tcPr>
          <w:p>
            <w:pPr>
              <w:pStyle w:val="TableContents"/>
              <w:bidi w:val="0"/>
              <w:spacing w:before="0" w:after="283"/>
              <w:jc w:val="both"/>
              <w:rPr/>
            </w:pPr>
            <w:r>
              <w:rPr/>
              <w:t> </w:t>
            </w:r>
          </w:p>
        </w:tc>
        <w:tc>
          <w:tcPr>
            <w:tcW w:w="359"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CCEEFF" w:val="clear"/>
            <w:tcMar>
              <w:top w:w="30" w:type="dxa"/>
              <w:left w:w="30" w:type="dxa"/>
              <w:bottom w:w="30" w:type="dxa"/>
              <w:right w:w="30" w:type="dxa"/>
            </w:tcMar>
            <w:vAlign w:val="center"/>
          </w:tcPr>
          <w:p>
            <w:pPr>
              <w:pStyle w:val="TableContents"/>
              <w:bidi w:val="0"/>
              <w:spacing w:before="0" w:after="283"/>
              <w:jc w:val="both"/>
              <w:rPr/>
            </w:pPr>
            <w:r>
              <w:rPr/>
              <w:t>Q2-2026</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CCEEFF" w:val="clear"/>
            <w:tcMar>
              <w:top w:w="30" w:type="dxa"/>
              <w:left w:w="30" w:type="dxa"/>
              <w:bottom w:w="30" w:type="dxa"/>
              <w:right w:w="30" w:type="dxa"/>
            </w:tcMar>
            <w:vAlign w:val="center"/>
          </w:tcPr>
          <w:p>
            <w:pPr>
              <w:pStyle w:val="TableContents"/>
              <w:bidi w:val="0"/>
              <w:spacing w:before="0" w:after="283"/>
              <w:jc w:val="right"/>
              <w:rPr/>
            </w:pPr>
            <w:r>
              <w:rPr/>
              <w:t>9.4</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FFFFFF" w:val="clear"/>
            <w:tcMar>
              <w:top w:w="30" w:type="dxa"/>
              <w:left w:w="30" w:type="dxa"/>
              <w:bottom w:w="30" w:type="dxa"/>
              <w:right w:w="30" w:type="dxa"/>
            </w:tcMar>
            <w:vAlign w:val="center"/>
          </w:tcPr>
          <w:p>
            <w:pPr>
              <w:pStyle w:val="TableContents"/>
              <w:bidi w:val="0"/>
              <w:spacing w:before="0" w:after="283"/>
              <w:jc w:val="both"/>
              <w:rPr/>
            </w:pPr>
            <w:r>
              <w:rPr/>
              <w:t>Q1-2026</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FFFFFF" w:val="clear"/>
            <w:tcMar>
              <w:top w:w="30" w:type="dxa"/>
              <w:left w:w="30" w:type="dxa"/>
              <w:bottom w:w="30" w:type="dxa"/>
              <w:right w:w="30" w:type="dxa"/>
            </w:tcMar>
            <w:vAlign w:val="center"/>
          </w:tcPr>
          <w:p>
            <w:pPr>
              <w:pStyle w:val="TableContents"/>
              <w:bidi w:val="0"/>
              <w:spacing w:before="0" w:after="283"/>
              <w:jc w:val="right"/>
              <w:rPr/>
            </w:pPr>
            <w:r>
              <w:rPr/>
              <w:t>8.7</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CCEEFF" w:val="clear"/>
            <w:tcMar>
              <w:top w:w="30" w:type="dxa"/>
              <w:left w:w="30" w:type="dxa"/>
              <w:bottom w:w="30" w:type="dxa"/>
              <w:right w:w="30" w:type="dxa"/>
            </w:tcMar>
            <w:vAlign w:val="center"/>
          </w:tcPr>
          <w:p>
            <w:pPr>
              <w:pStyle w:val="TableContents"/>
              <w:bidi w:val="0"/>
              <w:spacing w:before="0" w:after="283"/>
              <w:jc w:val="both"/>
              <w:rPr/>
            </w:pPr>
            <w:r>
              <w:rPr/>
              <w:t>Q4-2025:</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CCEEFF" w:val="clear"/>
            <w:tcMar>
              <w:top w:w="30" w:type="dxa"/>
              <w:left w:w="30" w:type="dxa"/>
              <w:bottom w:w="30" w:type="dxa"/>
              <w:right w:w="30" w:type="dxa"/>
            </w:tcMar>
            <w:vAlign w:val="center"/>
          </w:tcPr>
          <w:p>
            <w:pPr>
              <w:pStyle w:val="TableContents"/>
              <w:bidi w:val="0"/>
              <w:spacing w:before="0" w:after="283"/>
              <w:jc w:val="right"/>
              <w:rPr/>
            </w:pPr>
            <w:r>
              <w:rPr/>
              <w:t>8.1</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FFFFFF" w:val="clear"/>
            <w:tcMar>
              <w:top w:w="30" w:type="dxa"/>
              <w:left w:w="30" w:type="dxa"/>
              <w:bottom w:w="30" w:type="dxa"/>
              <w:right w:w="30" w:type="dxa"/>
            </w:tcMar>
            <w:vAlign w:val="center"/>
          </w:tcPr>
          <w:p>
            <w:pPr>
              <w:pStyle w:val="TableContents"/>
              <w:bidi w:val="0"/>
              <w:spacing w:before="0" w:after="283"/>
              <w:jc w:val="both"/>
              <w:rPr/>
            </w:pPr>
            <w:r>
              <w:rPr/>
              <w:t>Q3-2025:</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FFFFFF" w:val="clear"/>
            <w:tcMar>
              <w:top w:w="30" w:type="dxa"/>
              <w:left w:w="30" w:type="dxa"/>
              <w:bottom w:w="30" w:type="dxa"/>
              <w:right w:w="30" w:type="dxa"/>
            </w:tcMar>
            <w:vAlign w:val="center"/>
          </w:tcPr>
          <w:p>
            <w:pPr>
              <w:pStyle w:val="TableContents"/>
              <w:bidi w:val="0"/>
              <w:spacing w:before="0" w:after="283"/>
              <w:jc w:val="right"/>
              <w:rPr/>
            </w:pPr>
            <w:r>
              <w:rPr/>
              <w:t>7.3</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CCEEFF" w:val="clear"/>
            <w:tcMar>
              <w:top w:w="30" w:type="dxa"/>
              <w:left w:w="30" w:type="dxa"/>
              <w:bottom w:w="30" w:type="dxa"/>
              <w:right w:w="30" w:type="dxa"/>
            </w:tcMar>
            <w:vAlign w:val="center"/>
          </w:tcPr>
          <w:p>
            <w:pPr>
              <w:pStyle w:val="TableContents"/>
              <w:bidi w:val="0"/>
              <w:spacing w:before="0" w:after="283"/>
              <w:jc w:val="both"/>
              <w:rPr/>
            </w:pPr>
            <w:r>
              <w:rPr/>
              <w:t>Q2-2025:</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CCEEFF" w:val="clear"/>
            <w:tcMar>
              <w:top w:w="30" w:type="dxa"/>
              <w:left w:w="30" w:type="dxa"/>
              <w:bottom w:w="30" w:type="dxa"/>
              <w:right w:w="30" w:type="dxa"/>
            </w:tcMar>
            <w:vAlign w:val="center"/>
          </w:tcPr>
          <w:p>
            <w:pPr>
              <w:pStyle w:val="TableContents"/>
              <w:bidi w:val="0"/>
              <w:spacing w:before="0" w:after="283"/>
              <w:jc w:val="right"/>
              <w:rPr/>
            </w:pPr>
            <w:r>
              <w:rPr/>
              <w:t>6.4</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FFFFFF" w:val="clear"/>
            <w:tcMar>
              <w:top w:w="30" w:type="dxa"/>
              <w:left w:w="30" w:type="dxa"/>
              <w:bottom w:w="30" w:type="dxa"/>
              <w:right w:w="30" w:type="dxa"/>
            </w:tcMar>
            <w:vAlign w:val="center"/>
          </w:tcPr>
          <w:p>
            <w:pPr>
              <w:pStyle w:val="TableContents"/>
              <w:bidi w:val="0"/>
              <w:spacing w:before="0" w:after="283"/>
              <w:jc w:val="both"/>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6288" w:type="dxa"/>
            <w:gridSpan w:val="8"/>
            <w:tcBorders/>
            <w:tcMar>
              <w:top w:w="30" w:type="dxa"/>
              <w:left w:w="30" w:type="dxa"/>
              <w:bottom w:w="30" w:type="dxa"/>
              <w:right w:w="30" w:type="dxa"/>
            </w:tcMar>
            <w:vAlign w:val="center"/>
          </w:tcPr>
          <w:p>
            <w:pPr>
              <w:pStyle w:val="TableContents"/>
              <w:bidi w:val="0"/>
              <w:spacing w:before="0" w:after="283"/>
              <w:jc w:val="both"/>
              <w:rPr>
                <w:b/>
                <w:u w:val="single"/>
              </w:rPr>
            </w:pPr>
            <w:r>
              <w:rPr>
                <w:b/>
                <w:u w:val="single"/>
              </w:rPr>
              <w:t>SECaaS ARR* - U.S. dollars in millions (Unaudited)</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CCEEFF" w:val="clear"/>
            <w:tcMar>
              <w:top w:w="30" w:type="dxa"/>
              <w:left w:w="30" w:type="dxa"/>
              <w:bottom w:w="30" w:type="dxa"/>
              <w:right w:w="30" w:type="dxa"/>
            </w:tcMar>
            <w:vAlign w:val="center"/>
          </w:tcPr>
          <w:p>
            <w:pPr>
              <w:pStyle w:val="TableContents"/>
              <w:bidi w:val="0"/>
              <w:spacing w:before="0" w:after="283"/>
              <w:jc w:val="both"/>
              <w:rPr/>
            </w:pPr>
            <w:r>
              <w:rPr/>
              <w:t>Jun. 2026:</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CCEEFF" w:val="clear"/>
            <w:tcMar>
              <w:top w:w="30" w:type="dxa"/>
              <w:left w:w="30" w:type="dxa"/>
              <w:bottom w:w="30" w:type="dxa"/>
              <w:right w:w="30" w:type="dxa"/>
            </w:tcMar>
            <w:vAlign w:val="center"/>
          </w:tcPr>
          <w:p>
            <w:pPr>
              <w:pStyle w:val="TableContents"/>
              <w:bidi w:val="0"/>
              <w:spacing w:before="0" w:after="283"/>
              <w:jc w:val="right"/>
              <w:rPr/>
            </w:pPr>
            <w:r>
              <w:rPr/>
              <w:t>36.1</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FFFFFF" w:val="clear"/>
            <w:tcMar>
              <w:top w:w="30" w:type="dxa"/>
              <w:left w:w="30" w:type="dxa"/>
              <w:bottom w:w="30" w:type="dxa"/>
              <w:right w:w="30" w:type="dxa"/>
            </w:tcMar>
            <w:vAlign w:val="center"/>
          </w:tcPr>
          <w:p>
            <w:pPr>
              <w:pStyle w:val="TableContents"/>
              <w:bidi w:val="0"/>
              <w:spacing w:before="0" w:after="283"/>
              <w:jc w:val="both"/>
              <w:rPr/>
            </w:pPr>
            <w:r>
              <w:rPr/>
              <w:t>Dec. 2025:</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FFFFFF" w:val="clear"/>
            <w:tcMar>
              <w:top w:w="30" w:type="dxa"/>
              <w:left w:w="30" w:type="dxa"/>
              <w:bottom w:w="30" w:type="dxa"/>
              <w:right w:w="30" w:type="dxa"/>
            </w:tcMar>
            <w:vAlign w:val="center"/>
          </w:tcPr>
          <w:p>
            <w:pPr>
              <w:pStyle w:val="TableContents"/>
              <w:bidi w:val="0"/>
              <w:spacing w:before="0" w:after="283"/>
              <w:jc w:val="right"/>
              <w:rPr/>
            </w:pPr>
            <w:r>
              <w:rPr/>
              <w:t>30.8</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CCEEFF" w:val="clear"/>
            <w:tcMar>
              <w:top w:w="30" w:type="dxa"/>
              <w:left w:w="30" w:type="dxa"/>
              <w:bottom w:w="30" w:type="dxa"/>
              <w:right w:w="30" w:type="dxa"/>
            </w:tcMar>
            <w:vAlign w:val="center"/>
          </w:tcPr>
          <w:p>
            <w:pPr>
              <w:pStyle w:val="TableContents"/>
              <w:bidi w:val="0"/>
              <w:spacing w:before="0" w:after="283"/>
              <w:jc w:val="both"/>
              <w:rPr/>
            </w:pPr>
            <w:r>
              <w:rPr/>
              <w:t>Dec. 2024:</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CCEEFF" w:val="clear"/>
            <w:tcMar>
              <w:top w:w="30" w:type="dxa"/>
              <w:left w:w="30" w:type="dxa"/>
              <w:bottom w:w="30" w:type="dxa"/>
              <w:right w:w="30" w:type="dxa"/>
            </w:tcMar>
            <w:vAlign w:val="center"/>
          </w:tcPr>
          <w:p>
            <w:pPr>
              <w:pStyle w:val="TableContents"/>
              <w:bidi w:val="0"/>
              <w:spacing w:before="0" w:after="283"/>
              <w:jc w:val="right"/>
              <w:rPr/>
            </w:pPr>
            <w:r>
              <w:rPr/>
              <w:t>18.2</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CCEE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CCEEFF" w:val="clear"/>
            <w:tcMar>
              <w:top w:w="30" w:type="dxa"/>
              <w:left w:w="30" w:type="dxa"/>
              <w:bottom w:w="30" w:type="dxa"/>
              <w:right w:w="30" w:type="dxa"/>
            </w:tcMar>
            <w:vAlign w:val="center"/>
          </w:tcPr>
          <w:p>
            <w:pPr>
              <w:pStyle w:val="TableContents"/>
              <w:bidi w:val="0"/>
              <w:spacing w:before="0" w:after="283"/>
              <w:jc w:val="left"/>
              <w:rPr/>
            </w:pPr>
            <w:r>
              <w:rPr/>
              <w:t> </w:t>
            </w:r>
          </w:p>
        </w:tc>
      </w:tr>
      <w:tr>
        <w:trPr/>
        <w:tc>
          <w:tcPr>
            <w:tcW w:w="3045" w:type="dxa"/>
            <w:tcBorders/>
            <w:shd w:fill="FFFFFF" w:val="clear"/>
            <w:tcMar>
              <w:top w:w="30" w:type="dxa"/>
              <w:left w:w="30" w:type="dxa"/>
              <w:bottom w:w="30" w:type="dxa"/>
              <w:right w:w="30" w:type="dxa"/>
            </w:tcMar>
            <w:vAlign w:val="center"/>
          </w:tcPr>
          <w:p>
            <w:pPr>
              <w:pStyle w:val="TableContents"/>
              <w:bidi w:val="0"/>
              <w:spacing w:before="0" w:after="283"/>
              <w:jc w:val="both"/>
              <w:rPr/>
            </w:pPr>
            <w:r>
              <w:rPr/>
              <w:t>Dec. 2023:</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1329" w:type="dxa"/>
            <w:tcBorders/>
            <w:shd w:fill="FFFFFF" w:val="clear"/>
            <w:tcMar>
              <w:top w:w="30" w:type="dxa"/>
              <w:left w:w="30" w:type="dxa"/>
              <w:bottom w:w="30" w:type="dxa"/>
              <w:right w:w="30" w:type="dxa"/>
            </w:tcMar>
            <w:vAlign w:val="center"/>
          </w:tcPr>
          <w:p>
            <w:pPr>
              <w:pStyle w:val="TableContents"/>
              <w:bidi w:val="0"/>
              <w:spacing w:before="0" w:after="283"/>
              <w:jc w:val="right"/>
              <w:rPr/>
            </w:pPr>
            <w:r>
              <w:rPr/>
              <w:t>12.7</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c>
          <w:tcPr>
            <w:tcW w:w="319" w:type="dxa"/>
            <w:tcBorders/>
            <w:shd w:fill="FFFFFF" w:val="clear"/>
            <w:tcMar>
              <w:top w:w="30" w:type="dxa"/>
              <w:left w:w="30" w:type="dxa"/>
              <w:bottom w:w="30" w:type="dxa"/>
              <w:right w:w="30" w:type="dxa"/>
            </w:tcMar>
            <w:vAlign w:val="center"/>
          </w:tcPr>
          <w:p>
            <w:pPr>
              <w:pStyle w:val="TableContents"/>
              <w:bidi w:val="0"/>
              <w:spacing w:before="0" w:after="283"/>
              <w:jc w:val="right"/>
              <w:rPr/>
            </w:pPr>
            <w:r>
              <w:rPr/>
              <w:t> </w:t>
            </w:r>
          </w:p>
        </w:tc>
        <w:tc>
          <w:tcPr>
            <w:tcW w:w="359" w:type="dxa"/>
            <w:tcBorders/>
            <w:shd w:fill="FFFFFF" w:val="clear"/>
            <w:tcMar>
              <w:top w:w="30" w:type="dxa"/>
              <w:left w:w="30" w:type="dxa"/>
              <w:bottom w:w="30" w:type="dxa"/>
              <w:right w:w="3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3260</Words>
  <Characters>17535</Characters>
  <CharactersWithSpaces>22231</CharactersWithSpaces>
  <Paragraphs>3223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