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Harari Eyal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224A COUNTY RD.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TENAFLY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07670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Allot Ltd.</w:t>
              </w:r>
            </w:hyperlink>
            <w:r>
              <w:rPr/>
              <w:t xml:space="preserve"> [ </w:t>
            </w:r>
            <w:r>
              <w:rPr>
                <w:rFonts w:ascii="Times;serif" w:hAnsi="Times;serif"/>
                <w:color w:val="0000FF"/>
                <w:sz w:val="24"/>
                <w:shd w:fill="FFFFFF" w:val="clear"/>
              </w:rPr>
              <w:t>ALLT</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08/06/2026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9"/>
        <w:gridCol w:w="902"/>
        <w:gridCol w:w="773"/>
        <w:gridCol w:w="599"/>
        <w:gridCol w:w="344"/>
        <w:gridCol w:w="963"/>
        <w:gridCol w:w="442"/>
        <w:gridCol w:w="792"/>
        <w:gridCol w:w="1263"/>
        <w:gridCol w:w="982"/>
        <w:gridCol w:w="91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29,111</w:t>
            </w:r>
            <w:r>
              <w:rPr>
                <w:rFonts w:ascii="Times;serif" w:hAnsi="Times;serif"/>
                <w:color w:val="008000"/>
                <w:position w:val="7"/>
                <w:sz w:val="16"/>
                <w:sz w:val="20"/>
                <w:shd w:fill="FFFFFF" w:val="clear"/>
              </w:rPr>
              <w:t>(1)</w:t>
            </w:r>
          </w:p>
        </w:tc>
        <w:tc>
          <w:tcPr>
            <w:tcW w:w="4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7.639</w:t>
            </w:r>
            <w:r>
              <w:rPr>
                <w:rFonts w:ascii="Times;serif" w:hAnsi="Times;serif"/>
                <w:color w:val="008000"/>
                <w:position w:val="7"/>
                <w:sz w:val="16"/>
                <w:sz w:val="20"/>
                <w:shd w:fill="FFFFFF" w:val="clear"/>
              </w:rPr>
              <w:t>(2)</w:t>
            </w:r>
          </w:p>
        </w:tc>
        <w:tc>
          <w:tcPr>
            <w:tcW w:w="12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1,099,118</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reported as disposed herein were granted on August 26, 2024 in the form of restricted share units ("RSUs"). The disposition of shares is associated with tax obligations of the reporting person associated with the vesting of the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ranging from $7.555 to $7.78. The reporting person undertakes to provide full information, regarding the number of shares and prices at which the transaction was effectuated, upon request.</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Meirav Shemesh on behalf of Oppenheimer Israel,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85446" TargetMode="External"/><Relationship Id="rId5" Type="http://schemas.openxmlformats.org/officeDocument/2006/relationships/hyperlink" Target="http://www.sec.gov/cgi-bin/browse-edgar?action=getcompany&amp;CIK=00013657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3550</Characters>
  <CharactersWithSpaces>4134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