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0002072237</w:t>
            </w:r>
          </w:p>
        </w:tc>
        <w:tc>
          <w:tcPr>
            <w:tcW w:w="43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3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2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3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24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24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4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24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835"/>
        </w:trPr>
        <w:tc>
          <w:tcPr>
            <w:tcW w:w="62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3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240" w:type="dxa"/>
            <w:vAlign w:val="bottom"/>
          </w:tcPr>
          <w:p>
            <w:pPr>
              <w:spacing w:after="0"/>
              <w:rPr>
                <w:sz w:val="24"/>
                <w:szCs w:val="24"/>
                <w:color w:val="auto"/>
              </w:rPr>
            </w:pPr>
          </w:p>
        </w:tc>
        <w:tc>
          <w:tcPr>
            <w:tcW w:w="43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Allot Ltd.</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240" w:type="dxa"/>
            <w:vAlign w:val="bottom"/>
          </w:tcPr>
          <w:p>
            <w:pPr>
              <w:spacing w:after="0"/>
              <w:rPr>
                <w:sz w:val="24"/>
                <w:szCs w:val="24"/>
                <w:color w:val="auto"/>
              </w:rPr>
            </w:pPr>
          </w:p>
        </w:tc>
        <w:tc>
          <w:tcPr>
            <w:tcW w:w="43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001-33129</w:t>
            </w:r>
          </w:p>
        </w:tc>
      </w:tr>
      <w:tr>
        <w:trPr>
          <w:trHeight w:val="258"/>
        </w:trPr>
        <w:tc>
          <w:tcPr>
            <w:tcW w:w="300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43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22 HANGAR STREET</w:t>
            </w:r>
          </w:p>
        </w:tc>
      </w:tr>
      <w:tr>
        <w:trPr>
          <w:trHeight w:val="243"/>
        </w:trPr>
        <w:tc>
          <w:tcPr>
            <w:tcW w:w="300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432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w w:val="97"/>
              </w:rPr>
              <w:t>NEVE NE'EMAN, INDUSTRIAL ZONE B</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240" w:type="dxa"/>
            <w:vAlign w:val="bottom"/>
          </w:tcPr>
          <w:p>
            <w:pPr>
              <w:spacing w:after="0"/>
              <w:rPr>
                <w:sz w:val="21"/>
                <w:szCs w:val="21"/>
                <w:color w:val="auto"/>
              </w:rPr>
            </w:pPr>
          </w:p>
        </w:tc>
        <w:tc>
          <w:tcPr>
            <w:tcW w:w="432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HOD-HASHARON</w:t>
            </w:r>
          </w:p>
        </w:tc>
      </w:tr>
      <w:tr>
        <w:trPr>
          <w:trHeight w:val="243"/>
        </w:trPr>
        <w:tc>
          <w:tcPr>
            <w:tcW w:w="300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432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ISRAEL</w:t>
            </w:r>
          </w:p>
        </w:tc>
      </w:tr>
      <w:tr>
        <w:trPr>
          <w:trHeight w:val="282"/>
        </w:trPr>
        <w:tc>
          <w:tcPr>
            <w:tcW w:w="30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3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4501317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40" w:type="dxa"/>
            <w:vAlign w:val="bottom"/>
          </w:tcPr>
          <w:p>
            <w:pPr>
              <w:spacing w:after="0"/>
              <w:rPr>
                <w:sz w:val="24"/>
                <w:szCs w:val="24"/>
                <w:color w:val="auto"/>
              </w:rPr>
            </w:pPr>
          </w:p>
        </w:tc>
        <w:tc>
          <w:tcPr>
            <w:tcW w:w="43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972-9-761-9200</w:t>
            </w:r>
          </w:p>
        </w:tc>
      </w:tr>
      <w:tr>
        <w:trPr>
          <w:trHeight w:val="297"/>
        </w:trPr>
        <w:tc>
          <w:tcPr>
            <w:tcW w:w="62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3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Shteiman Mark</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Oppenheimer &amp; Co. Inc.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85 Broad St.</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2000</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14420.00</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48645282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4400" w:type="dxa"/>
            <w:vAlign w:val="bottom"/>
          </w:tcPr>
          <w:p>
            <w:pPr>
              <w:jc w:val="center"/>
              <w:ind w:left="3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40" w:type="dxa"/>
            <w:vAlign w:val="bottom"/>
          </w:tcPr>
          <w:p>
            <w:pPr>
              <w:jc w:val="center"/>
              <w:ind w:right="161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3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20" w:type="dxa"/>
            <w:vAlign w:val="bottom"/>
          </w:tcPr>
          <w:p>
            <w:pPr>
              <w:spacing w:after="0"/>
              <w:rPr>
                <w:sz w:val="24"/>
                <w:szCs w:val="24"/>
                <w:color w:val="auto"/>
              </w:rPr>
            </w:pPr>
          </w:p>
        </w:tc>
        <w:tc>
          <w:tcPr>
            <w:tcW w:w="4400" w:type="dxa"/>
            <w:vAlign w:val="bottom"/>
          </w:tcPr>
          <w:p>
            <w:pPr>
              <w:jc w:val="center"/>
              <w:ind w:left="3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40" w:type="dxa"/>
            <w:vAlign w:val="bottom"/>
          </w:tcPr>
          <w:p>
            <w:pPr>
              <w:jc w:val="center"/>
              <w:ind w:right="159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w:t>
            </w:r>
          </w:p>
        </w:tc>
        <w:tc>
          <w:tcPr>
            <w:tcW w:w="44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Shares issued</w:t>
            </w:r>
          </w:p>
        </w:tc>
        <w:tc>
          <w:tcPr>
            <w:tcW w:w="2540" w:type="dxa"/>
            <w:vAlign w:val="bottom"/>
          </w:tcPr>
          <w:p>
            <w:pPr>
              <w:spacing w:after="0"/>
              <w:rPr>
                <w:sz w:val="23"/>
                <w:szCs w:val="23"/>
                <w:color w:val="auto"/>
              </w:rPr>
            </w:pPr>
          </w:p>
        </w:tc>
        <w:tc>
          <w:tcPr>
            <w:tcW w:w="30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No consideration,</w:t>
            </w:r>
          </w:p>
        </w:tc>
        <w:tc>
          <w:tcPr>
            <w:tcW w:w="0" w:type="dxa"/>
            <w:vAlign w:val="bottom"/>
          </w:tcPr>
          <w:p>
            <w:pPr>
              <w:spacing w:after="0"/>
              <w:rPr>
                <w:sz w:val="1"/>
                <w:szCs w:val="1"/>
                <w:color w:val="auto"/>
              </w:rPr>
            </w:pPr>
          </w:p>
        </w:tc>
      </w:tr>
      <w:tr>
        <w:trPr>
          <w:trHeight w:val="122"/>
        </w:trPr>
        <w:tc>
          <w:tcPr>
            <w:tcW w:w="1120" w:type="dxa"/>
            <w:vAlign w:val="bottom"/>
            <w:vMerge w:val="continue"/>
          </w:tcPr>
          <w:p>
            <w:pPr>
              <w:spacing w:after="0"/>
              <w:rPr>
                <w:sz w:val="10"/>
                <w:szCs w:val="10"/>
                <w:color w:val="auto"/>
              </w:rPr>
            </w:pPr>
          </w:p>
        </w:tc>
        <w:tc>
          <w:tcPr>
            <w:tcW w:w="4400" w:type="dxa"/>
            <w:vAlign w:val="bottom"/>
            <w:vMerge w:val="restart"/>
          </w:tcPr>
          <w:p>
            <w:pPr>
              <w:ind w:left="340"/>
              <w:spacing w:after="0" w:line="243" w:lineRule="exact"/>
              <w:rPr>
                <w:sz w:val="20"/>
                <w:szCs w:val="20"/>
                <w:color w:val="auto"/>
              </w:rPr>
            </w:pPr>
            <w:r>
              <w:rPr>
                <w:rFonts w:ascii="Times New Roman" w:cs="Times New Roman" w:eastAsia="Times New Roman" w:hAnsi="Times New Roman"/>
                <w:sz w:val="22"/>
                <w:szCs w:val="22"/>
                <w:color w:val="auto"/>
              </w:rPr>
              <w:t>02/14/2025 upon vesting of   Allot Ltd.</w:t>
            </w:r>
          </w:p>
        </w:tc>
        <w:tc>
          <w:tcPr>
            <w:tcW w:w="2540" w:type="dxa"/>
            <w:vAlign w:val="bottom"/>
            <w:vMerge w:val="restart"/>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21000</w:t>
            </w:r>
          </w:p>
        </w:tc>
        <w:tc>
          <w:tcPr>
            <w:tcW w:w="3040" w:type="dxa"/>
            <w:vAlign w:val="bottom"/>
            <w:vMerge w:val="restart"/>
          </w:tcPr>
          <w:p>
            <w:pPr>
              <w:ind w:left="380"/>
              <w:spacing w:after="0" w:line="243" w:lineRule="exact"/>
              <w:rPr>
                <w:sz w:val="20"/>
                <w:szCs w:val="20"/>
                <w:color w:val="auto"/>
              </w:rPr>
            </w:pPr>
            <w:r>
              <w:rPr>
                <w:rFonts w:ascii="Times New Roman" w:cs="Times New Roman" w:eastAsia="Times New Roman" w:hAnsi="Times New Roman"/>
                <w:sz w:val="22"/>
                <w:szCs w:val="22"/>
                <w:color w:val="auto"/>
                <w:w w:val="97"/>
              </w:rPr>
              <w:t>02/14/2025 shares issued upon</w:t>
            </w:r>
          </w:p>
        </w:tc>
        <w:tc>
          <w:tcPr>
            <w:tcW w:w="0" w:type="dxa"/>
            <w:vAlign w:val="bottom"/>
          </w:tcPr>
          <w:p>
            <w:pPr>
              <w:spacing w:after="0"/>
              <w:rPr>
                <w:sz w:val="1"/>
                <w:szCs w:val="1"/>
                <w:color w:val="auto"/>
              </w:rPr>
            </w:pPr>
          </w:p>
        </w:tc>
      </w:tr>
      <w:tr>
        <w:trPr>
          <w:trHeight w:val="122"/>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4400" w:type="dxa"/>
            <w:vAlign w:val="bottom"/>
            <w:vMerge w:val="continue"/>
          </w:tcPr>
          <w:p>
            <w:pPr>
              <w:spacing w:after="0"/>
              <w:rPr>
                <w:sz w:val="10"/>
                <w:szCs w:val="10"/>
                <w:color w:val="auto"/>
              </w:rPr>
            </w:pPr>
          </w:p>
        </w:tc>
        <w:tc>
          <w:tcPr>
            <w:tcW w:w="2540" w:type="dxa"/>
            <w:vAlign w:val="bottom"/>
            <w:vMerge w:val="continue"/>
          </w:tcPr>
          <w:p>
            <w:pPr>
              <w:spacing w:after="0"/>
              <w:rPr>
                <w:sz w:val="10"/>
                <w:szCs w:val="10"/>
                <w:color w:val="auto"/>
              </w:rPr>
            </w:pPr>
          </w:p>
        </w:tc>
        <w:tc>
          <w:tcPr>
            <w:tcW w:w="3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20" w:type="dxa"/>
            <w:vAlign w:val="bottom"/>
            <w:vMerge w:val="continue"/>
          </w:tcPr>
          <w:p>
            <w:pPr>
              <w:spacing w:after="0"/>
              <w:rPr>
                <w:sz w:val="13"/>
                <w:szCs w:val="13"/>
                <w:color w:val="auto"/>
              </w:rPr>
            </w:pPr>
          </w:p>
        </w:tc>
        <w:tc>
          <w:tcPr>
            <w:tcW w:w="4400" w:type="dxa"/>
            <w:vAlign w:val="bottom"/>
            <w:vMerge w:val="restart"/>
          </w:tcPr>
          <w:p>
            <w:pPr>
              <w:ind w:left="1380"/>
              <w:spacing w:after="0"/>
              <w:rPr>
                <w:sz w:val="20"/>
                <w:szCs w:val="20"/>
                <w:color w:val="auto"/>
              </w:rPr>
            </w:pPr>
            <w:r>
              <w:rPr>
                <w:rFonts w:ascii="Times New Roman" w:cs="Times New Roman" w:eastAsia="Times New Roman" w:hAnsi="Times New Roman"/>
                <w:sz w:val="22"/>
                <w:szCs w:val="22"/>
                <w:color w:val="auto"/>
              </w:rPr>
              <w:t>RSUs</w:t>
            </w:r>
          </w:p>
        </w:tc>
        <w:tc>
          <w:tcPr>
            <w:tcW w:w="2540" w:type="dxa"/>
            <w:vAlign w:val="bottom"/>
          </w:tcPr>
          <w:p>
            <w:pPr>
              <w:spacing w:after="0"/>
              <w:rPr>
                <w:sz w:val="13"/>
                <w:szCs w:val="13"/>
                <w:color w:val="auto"/>
              </w:rPr>
            </w:pPr>
          </w:p>
        </w:tc>
        <w:tc>
          <w:tcPr>
            <w:tcW w:w="3040" w:type="dxa"/>
            <w:vAlign w:val="bottom"/>
            <w:vMerge w:val="restart"/>
          </w:tcPr>
          <w:p>
            <w:pPr>
              <w:ind w:left="1420"/>
              <w:spacing w:after="0"/>
              <w:rPr>
                <w:sz w:val="20"/>
                <w:szCs w:val="20"/>
                <w:color w:val="auto"/>
              </w:rPr>
            </w:pPr>
            <w:r>
              <w:rPr>
                <w:rFonts w:ascii="Times New Roman" w:cs="Times New Roman" w:eastAsia="Times New Roman" w:hAnsi="Times New Roman"/>
                <w:sz w:val="22"/>
                <w:szCs w:val="22"/>
                <w:color w:val="auto"/>
              </w:rPr>
              <w:t>vesting of RSUs</w:t>
            </w:r>
          </w:p>
        </w:tc>
        <w:tc>
          <w:tcPr>
            <w:tcW w:w="0" w:type="dxa"/>
            <w:vAlign w:val="bottom"/>
          </w:tcPr>
          <w:p>
            <w:pPr>
              <w:spacing w:after="0"/>
              <w:rPr>
                <w:sz w:val="1"/>
                <w:szCs w:val="1"/>
                <w:color w:val="auto"/>
              </w:rPr>
            </w:pPr>
          </w:p>
        </w:tc>
      </w:tr>
      <w:tr>
        <w:trPr>
          <w:trHeight w:val="121"/>
        </w:trPr>
        <w:tc>
          <w:tcPr>
            <w:tcW w:w="1120" w:type="dxa"/>
            <w:vAlign w:val="bottom"/>
          </w:tcPr>
          <w:p>
            <w:pPr>
              <w:spacing w:after="0"/>
              <w:rPr>
                <w:sz w:val="10"/>
                <w:szCs w:val="10"/>
                <w:color w:val="auto"/>
              </w:rPr>
            </w:pPr>
          </w:p>
        </w:tc>
        <w:tc>
          <w:tcPr>
            <w:tcW w:w="4400" w:type="dxa"/>
            <w:vAlign w:val="bottom"/>
            <w:vMerge w:val="continue"/>
          </w:tcPr>
          <w:p>
            <w:pPr>
              <w:spacing w:after="0"/>
              <w:rPr>
                <w:sz w:val="10"/>
                <w:szCs w:val="10"/>
                <w:color w:val="auto"/>
              </w:rPr>
            </w:pPr>
          </w:p>
        </w:tc>
        <w:tc>
          <w:tcPr>
            <w:tcW w:w="2540" w:type="dxa"/>
            <w:vAlign w:val="bottom"/>
          </w:tcPr>
          <w:p>
            <w:pPr>
              <w:spacing w:after="0"/>
              <w:rPr>
                <w:sz w:val="10"/>
                <w:szCs w:val="10"/>
                <w:color w:val="auto"/>
              </w:rPr>
            </w:pPr>
          </w:p>
        </w:tc>
        <w:tc>
          <w:tcPr>
            <w:tcW w:w="3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Mark Shteiman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 Hanagar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Ordinary Shares</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05/18/2026 3000</w:t>
            </w:r>
          </w:p>
        </w:tc>
        <w:tc>
          <w:tcPr>
            <w:tcW w:w="800" w:type="dxa"/>
            <w:vAlign w:val="bottom"/>
          </w:tcPr>
          <w:p>
            <w:pPr>
              <w:spacing w:after="0"/>
              <w:rPr>
                <w:sz w:val="21"/>
                <w:szCs w:val="21"/>
                <w:color w:val="auto"/>
              </w:rPr>
            </w:pP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21390.00</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Neve Ne'eman Industrial Zone B</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Hod-Hasharon  L3  4501317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Mark Shteiman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 Hanagar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Ordinary Shares</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05/19/2026 5000</w:t>
            </w:r>
          </w:p>
        </w:tc>
        <w:tc>
          <w:tcPr>
            <w:tcW w:w="800" w:type="dxa"/>
            <w:vAlign w:val="bottom"/>
          </w:tcPr>
          <w:p>
            <w:pPr>
              <w:spacing w:after="0"/>
              <w:rPr>
                <w:sz w:val="21"/>
                <w:szCs w:val="21"/>
                <w:color w:val="auto"/>
              </w:rPr>
            </w:pP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36600.00</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Neve Ne'eman Industrial Zone B</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Hod-Hasharon  L3  4501317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Mark Shteiman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 Hanagar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Ordinary Shares</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05/21/2026 5000</w:t>
            </w:r>
          </w:p>
        </w:tc>
        <w:tc>
          <w:tcPr>
            <w:tcW w:w="800" w:type="dxa"/>
            <w:vAlign w:val="bottom"/>
          </w:tcPr>
          <w:p>
            <w:pPr>
              <w:spacing w:after="0"/>
              <w:rPr>
                <w:sz w:val="21"/>
                <w:szCs w:val="21"/>
                <w:color w:val="auto"/>
              </w:rPr>
            </w:pP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36950.00</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Neve Ne'eman Industrial Zone B</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Hod-Hasharon  L3  4501317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Mark Shteiman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 Hanagar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Ordinary Shares</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05/22/2026 6000</w:t>
            </w:r>
          </w:p>
        </w:tc>
        <w:tc>
          <w:tcPr>
            <w:tcW w:w="800" w:type="dxa"/>
            <w:vAlign w:val="bottom"/>
          </w:tcPr>
          <w:p>
            <w:pPr>
              <w:spacing w:after="0"/>
              <w:rPr>
                <w:sz w:val="21"/>
                <w:szCs w:val="21"/>
                <w:color w:val="auto"/>
              </w:rPr>
            </w:pP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45480.00</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Neve Ne'eman Industrial Zone B</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Hod-Hasharon  L3  4501317</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36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06/15/2026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360" w:val="left"/>
        </w:tabs>
        <w:rPr>
          <w:sz w:val="20"/>
          <w:szCs w:val="20"/>
          <w:color w:val="auto"/>
        </w:rPr>
      </w:pPr>
      <w:r>
        <w:rPr>
          <w:rFonts w:ascii="Times New Roman" w:cs="Times New Roman" w:eastAsia="Times New Roman" w:hAnsi="Times New Roman"/>
          <w:sz w:val="21"/>
          <w:szCs w:val="21"/>
          <w:color w:val="auto"/>
        </w:rPr>
        <w:t>Signature</w:t>
      </w:r>
      <w:r>
        <w:rPr>
          <w:sz w:val="20"/>
          <w:szCs w:val="20"/>
          <w:color w:val="auto"/>
        </w:rPr>
        <w:tab/>
      </w:r>
      <w:r>
        <w:rPr>
          <w:rFonts w:ascii="Times New Roman" w:cs="Times New Roman" w:eastAsia="Times New Roman" w:hAnsi="Times New Roman"/>
          <w:sz w:val="21"/>
          <w:szCs w:val="21"/>
          <w:color w:val="auto"/>
        </w:rPr>
        <w:t>Mark Shteiman By: /s/ Meirav Shemesh Title: Authorized Signatory, Oppenheimer Israel (pursuant to delegation)</w:t>
      </w:r>
    </w:p>
    <w:p>
      <w:pPr>
        <w:sectPr>
          <w:pgSz w:w="11900" w:h="16838" w:orient="portrait"/>
          <w:cols w:equalWidth="0" w:num="1">
            <w:col w:w="11240"/>
          </w:cols>
          <w:pgMar w:left="320" w:top="98" w:right="339" w:bottom="1440" w:gutter="0" w:footer="0" w:header="0"/>
        </w:sectPr>
      </w:pP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2026-06-16T06:26:48Z</dcterms:created>
  <dcterms:modified xsi:type="dcterms:W3CDTF">2026-06-16T06:26:48Z</dcterms:modified>
</cp:coreProperties>
</file>