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6109.htm"/>
      <w:bookmarkStart w:id="1" w:name="kszk2636109"/>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PURSUANT TO RULE 13A-16 OR 15D-16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001-33129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ALLOT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Hanagar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Neve Ne'eman Industrial Zone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Hod-Hasharon 45240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___</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Allot Ltd. (the “Company”) published a notice (the “Notice”) that it will hold an Annual General Meeting of Shareholders (the “Annual Meeting”) on October 22, 2026, with a record date of September 9, 2026 (the “Record Date”). The Company will distribute a proxy statement (which will include the full version of the proposed resolutions) and a proxy card to all shareholders of record after the Record Date for the Annual Meeting. The Notice is furnished as Exhibit 99.1 herewith.</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75"/>
        <w:gridCol w:w="365"/>
        <w:gridCol w:w="2390"/>
      </w:tblGrid>
      <w:tr>
        <w:trPr/>
        <w:tc>
          <w:tcPr>
            <w:tcW w:w="75" w:type="dxa"/>
            <w:tcBorders/>
            <w:vAlign w:val="center"/>
          </w:tcPr>
          <w:p>
            <w:pPr>
              <w:pStyle w:val="TableContents"/>
              <w:bidi w:val="0"/>
              <w:spacing w:before="0" w:after="283"/>
              <w:jc w:val="left"/>
              <w:rPr/>
            </w:pPr>
            <w:r>
              <w:rPr/>
              <w:t> </w:t>
            </w:r>
          </w:p>
        </w:tc>
        <w:tc>
          <w:tcPr>
            <w:tcW w:w="2755" w:type="dxa"/>
            <w:gridSpan w:val="2"/>
            <w:tcBorders/>
            <w:vAlign w:val="center"/>
          </w:tcPr>
          <w:p>
            <w:pPr>
              <w:pStyle w:val="TableContents"/>
              <w:bidi w:val="0"/>
              <w:spacing w:before="0" w:after="283"/>
              <w:jc w:val="left"/>
              <w:rPr/>
            </w:pPr>
            <w:r>
              <w:rPr/>
              <w:t>Allot Ltd.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390" w:type="dxa"/>
            <w:tcBorders/>
            <w:vAlign w:val="center"/>
          </w:tcPr>
          <w:p>
            <w:pPr>
              <w:pStyle w:val="TableContents"/>
              <w:bidi w:val="0"/>
              <w:spacing w:before="0" w:after="283"/>
              <w:jc w:val="left"/>
              <w:rPr>
                <w:u w:val="single"/>
              </w:rPr>
            </w:pPr>
            <w:r>
              <w:rPr>
                <w:u w:val="single"/>
              </w:rPr>
              <w:t>/s/ Daniella Naveh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Daniella Naveh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Deputy General Counsel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10,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6"/>
        <w:gridCol w:w="8689"/>
      </w:tblGrid>
      <w:tr>
        <w:trPr/>
        <w:tc>
          <w:tcPr>
            <w:tcW w:w="1516" w:type="dxa"/>
            <w:tcBorders/>
            <w:vAlign w:val="center"/>
          </w:tcPr>
          <w:p>
            <w:pPr>
              <w:pStyle w:val="TableContents"/>
              <w:bidi w:val="0"/>
              <w:spacing w:before="0" w:after="283"/>
              <w:jc w:val="left"/>
              <w:rPr>
                <w:u w:val="single"/>
              </w:rPr>
            </w:pPr>
            <w:r>
              <w:rPr>
                <w:u w:val="single"/>
              </w:rPr>
              <w:t>Exhibit Number</w:t>
            </w:r>
          </w:p>
        </w:tc>
        <w:tc>
          <w:tcPr>
            <w:tcW w:w="8689" w:type="dxa"/>
            <w:tcBorders/>
            <w:vAlign w:val="center"/>
          </w:tcPr>
          <w:p>
            <w:pPr>
              <w:pStyle w:val="TableContents"/>
              <w:bidi w:val="0"/>
              <w:spacing w:before="0" w:after="283"/>
              <w:jc w:val="both"/>
              <w:rPr>
                <w:u w:val="single"/>
              </w:rPr>
            </w:pPr>
            <w:r>
              <w:rPr>
                <w:u w:val="single"/>
              </w:rPr>
              <w:t>Description</w:t>
            </w:r>
          </w:p>
        </w:tc>
      </w:tr>
      <w:tr>
        <w:trPr/>
        <w:tc>
          <w:tcPr>
            <w:tcW w:w="1516" w:type="dxa"/>
            <w:tcBorders/>
            <w:vAlign w:val="center"/>
          </w:tcPr>
          <w:p>
            <w:pPr>
              <w:pStyle w:val="TableContents"/>
              <w:bidi w:val="0"/>
              <w:spacing w:before="0" w:after="283"/>
              <w:jc w:val="left"/>
              <w:rPr/>
            </w:pPr>
            <w:r>
              <w:rPr/>
              <w:t> </w:t>
            </w:r>
          </w:p>
        </w:tc>
        <w:tc>
          <w:tcPr>
            <w:tcW w:w="8689" w:type="dxa"/>
            <w:tcBorders/>
            <w:vAlign w:val="center"/>
          </w:tcPr>
          <w:p>
            <w:pPr>
              <w:pStyle w:val="TableContents"/>
              <w:bidi w:val="0"/>
              <w:spacing w:before="0" w:after="283"/>
              <w:jc w:val="both"/>
              <w:rPr/>
            </w:pPr>
            <w:r>
              <w:rPr/>
              <w:t> </w:t>
            </w:r>
          </w:p>
        </w:tc>
      </w:tr>
      <w:tr>
        <w:trPr/>
        <w:tc>
          <w:tcPr>
            <w:tcW w:w="1516" w:type="dxa"/>
            <w:tcBorders/>
            <w:vAlign w:val="center"/>
          </w:tcPr>
          <w:p>
            <w:pPr>
              <w:pStyle w:val="TableContents"/>
              <w:bidi w:val="0"/>
              <w:spacing w:before="0" w:after="283"/>
              <w:jc w:val="left"/>
              <w:rPr/>
            </w:pPr>
            <w:hyperlink w:anchor="exhibit_99-1.htm">
              <w:r>
                <w:rPr>
                  <w:rStyle w:val="InternetLink"/>
                </w:rPr>
                <w:t>99.1</w:t>
              </w:r>
            </w:hyperlink>
          </w:p>
        </w:tc>
        <w:tc>
          <w:tcPr>
            <w:tcW w:w="8689" w:type="dxa"/>
            <w:tcBorders/>
            <w:vAlign w:val="center"/>
          </w:tcPr>
          <w:p>
            <w:pPr>
              <w:pStyle w:val="TableContents"/>
              <w:bidi w:val="0"/>
              <w:spacing w:before="0" w:after="283"/>
              <w:jc w:val="both"/>
              <w:rPr/>
            </w:pPr>
            <w:hyperlink w:anchor="exhibit_99-1.htm">
              <w:r>
                <w:rPr>
                  <w:rStyle w:val="InternetLink"/>
                </w:rPr>
                <w:t>Notice of Annual General Meeting of Shareholders of Allot Ltd. to be held on October 22, 2026.</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240" w:after="60"/>
        <w:jc w:val="left"/>
        <w:rPr>
          <w:bdr w:val="single" w:sz="16" w:space="1" w:color="000000"/>
        </w:rPr>
      </w:pPr>
      <w:bookmarkStart w:id="2" w:name="exhibit_99-1.htm"/>
      <w:bookmarkStart w:id="3" w:name="ksexhibit_991"/>
      <w:bookmarkEnd w:id="2"/>
      <w:bookmarkEnd w:id="3"/>
      <w:r>
        <w:rPr>
          <w:bdr w:val="single" w:sz="16" w:space="1" w:color="000000"/>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ALLOT LTD. (the “Company or “Allot”)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 Shareholders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pleased to announce that the annual meeting of shareholders of the Company will take place on October 22, 2026, at 2:30 p.m. Israel time at the offices of the Company, at 22 Hanagar Street, Neve Ne’eman Industrial Zone B, Hod Hasharon Israel (the “Annual Meeting”).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items are on the agenda of the Annual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pPr>
            <w:r>
              <w:rPr/>
              <w:t>1.</w:t>
            </w:r>
          </w:p>
        </w:tc>
        <w:tc>
          <w:tcPr>
            <w:tcW w:w="10041" w:type="dxa"/>
            <w:tcBorders/>
            <w:vAlign w:val="center"/>
          </w:tcPr>
          <w:p>
            <w:pPr>
              <w:pStyle w:val="TableContents"/>
              <w:bidi w:val="0"/>
              <w:spacing w:before="0" w:after="283"/>
              <w:jc w:val="left"/>
              <w:rPr/>
            </w:pPr>
            <w:r>
              <w:rPr/>
              <w:t>To approve an amendment to the Company’s Articles of Association, effective immediately upon the approval of this Proposal 1, to provide for the elimination of the different classes of members of the Board of Directors of the Company (the “Board”), so that after completion of their current term, the term of each director who is elected or reelected at or after the Annual Meeting shall be one year (other than Outside Directors, as defined in the Israel Companies Law, 5759-1999, as amended (the “Israel Companies Law”), who shall continue to serve for fixed three-year terms in accordance with the Israel Companies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2.</w:t>
            </w:r>
          </w:p>
        </w:tc>
        <w:tc>
          <w:tcPr>
            <w:tcW w:w="10035" w:type="dxa"/>
            <w:tcBorders/>
            <w:vAlign w:val="center"/>
          </w:tcPr>
          <w:p>
            <w:pPr>
              <w:pStyle w:val="TableContents"/>
              <w:bidi w:val="0"/>
              <w:spacing w:before="0" w:after="283"/>
              <w:jc w:val="left"/>
              <w:rPr/>
            </w:pPr>
            <w:r>
              <w:rPr/>
              <w:t>To reelect David Reis as a Class II director, to serve until the 2029 annual meeting of shareholders (or, if Proposal 1 is approved, to serve until the 2027 annual meeting of shareholders), and until his successor has been duly elected and qualified, or until his office is vacated in accordance with the Company’s Articles of Association or the Israel Companies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3.</w:t>
            </w:r>
          </w:p>
        </w:tc>
        <w:tc>
          <w:tcPr>
            <w:tcW w:w="10035" w:type="dxa"/>
            <w:tcBorders/>
            <w:vAlign w:val="center"/>
          </w:tcPr>
          <w:p>
            <w:pPr>
              <w:pStyle w:val="TableContents"/>
              <w:bidi w:val="0"/>
              <w:spacing w:before="0" w:after="283"/>
              <w:jc w:val="left"/>
              <w:rPr/>
            </w:pPr>
            <w:r>
              <w:rPr/>
              <w:t>To reelect Raffi Kesten as a Class II director, to serve until the 2029 annual meeting of shareholders (or, if Proposal 1 is approved, to serve until the 2027 annual meeting of shareholders), and until her successor has been duly elected and qualified, or until her office is vacated in accordance with the Company’s Articles of Association or the Israel Companies Law.</w:t>
            </w:r>
          </w:p>
        </w:tc>
      </w:tr>
    </w:tbl>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215"/>
        <w:gridCol w:w="9185"/>
      </w:tblGrid>
      <w:tr>
        <w:trPr/>
        <w:tc>
          <w:tcPr>
            <w:tcW w:w="215" w:type="dxa"/>
            <w:tcBorders/>
            <w:vAlign w:val="center"/>
          </w:tcPr>
          <w:p>
            <w:pPr>
              <w:pStyle w:val="TableContents"/>
              <w:bidi w:val="0"/>
              <w:spacing w:before="0" w:after="283"/>
              <w:jc w:val="left"/>
              <w:rPr/>
            </w:pPr>
            <w:r>
              <w:rPr/>
              <w:t>4.</w:t>
            </w:r>
          </w:p>
        </w:tc>
        <w:tc>
          <w:tcPr>
            <w:tcW w:w="9185" w:type="dxa"/>
            <w:tcBorders/>
            <w:vAlign w:val="center"/>
          </w:tcPr>
          <w:p>
            <w:pPr>
              <w:pStyle w:val="TableContents"/>
              <w:bidi w:val="0"/>
              <w:spacing w:before="0" w:after="283"/>
              <w:jc w:val="left"/>
              <w:rPr/>
            </w:pPr>
            <w:r>
              <w:rPr/>
              <w:t>To approve an amendment to the compensation policy for officers and directors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215"/>
        <w:gridCol w:w="6305"/>
      </w:tblGrid>
      <w:tr>
        <w:trPr/>
        <w:tc>
          <w:tcPr>
            <w:tcW w:w="215" w:type="dxa"/>
            <w:tcBorders/>
            <w:vAlign w:val="center"/>
          </w:tcPr>
          <w:p>
            <w:pPr>
              <w:pStyle w:val="TableContents"/>
              <w:bidi w:val="0"/>
              <w:spacing w:before="0" w:after="283"/>
              <w:jc w:val="left"/>
              <w:rPr/>
            </w:pPr>
            <w:r>
              <w:rPr/>
              <w:t>5.</w:t>
            </w:r>
          </w:p>
        </w:tc>
        <w:tc>
          <w:tcPr>
            <w:tcW w:w="6305" w:type="dxa"/>
            <w:tcBorders/>
            <w:vAlign w:val="center"/>
          </w:tcPr>
          <w:p>
            <w:pPr>
              <w:pStyle w:val="TableContents"/>
              <w:bidi w:val="0"/>
              <w:spacing w:before="0" w:after="283"/>
              <w:jc w:val="left"/>
              <w:rPr/>
            </w:pPr>
            <w:r>
              <w:rPr/>
              <w:t>To approve the compensation payable to the Company’s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pPr>
            <w:r>
              <w:rPr/>
              <w:t>6.</w:t>
            </w:r>
          </w:p>
        </w:tc>
        <w:tc>
          <w:tcPr>
            <w:tcW w:w="10037" w:type="dxa"/>
            <w:tcBorders/>
            <w:vAlign w:val="center"/>
          </w:tcPr>
          <w:p>
            <w:pPr>
              <w:pStyle w:val="TableContents"/>
              <w:bidi w:val="0"/>
              <w:spacing w:before="0" w:after="283"/>
              <w:jc w:val="left"/>
              <w:rPr/>
            </w:pPr>
            <w:r>
              <w:rPr/>
              <w:t>To approve the reappointment of Kost Forer Gabbay &amp; Kasierer, a member of Ernst &amp; Young Global, as Allot’s independent registered public accounting firm for the fiscal year ending December 31, 2026 and until the next annual meeting of shareholders, and to authorize the Board, upon recommendation of the audit committee, to fix the remuneration of said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pPr>
            <w:r>
              <w:rPr/>
              <w:t>7.</w:t>
            </w:r>
          </w:p>
        </w:tc>
        <w:tc>
          <w:tcPr>
            <w:tcW w:w="10008" w:type="dxa"/>
            <w:tcBorders/>
            <w:vAlign w:val="center"/>
          </w:tcPr>
          <w:p>
            <w:pPr>
              <w:pStyle w:val="TableContents"/>
              <w:bidi w:val="0"/>
              <w:spacing w:before="0" w:after="283"/>
              <w:jc w:val="left"/>
              <w:rPr/>
            </w:pPr>
            <w:r>
              <w:rPr/>
              <w:t>To report on the business of the Company for the fiscal year ended December 31, 2025, including a review of the fiscal 2025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8.</w:t>
            </w:r>
          </w:p>
        </w:tc>
        <w:tc>
          <w:tcPr>
            <w:tcW w:w="10002" w:type="dxa"/>
            <w:tcBorders/>
            <w:vAlign w:val="center"/>
          </w:tcPr>
          <w:p>
            <w:pPr>
              <w:pStyle w:val="TableContents"/>
              <w:bidi w:val="0"/>
              <w:spacing w:before="0" w:after="283"/>
              <w:jc w:val="left"/>
              <w:rPr/>
            </w:pPr>
            <w:r>
              <w:rPr/>
              <w:t>To act upon any other matters that may properly come before the Annual Meeting or any adjournment or postponement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for determining the right of all the shareholders to vote at the Annual Meeting is September 9, 2026. The last date for submitting proposals for consideration at the Annual Meeting is September 22, 2026. The last date for submitting a proxy card is October 21, 2026, at 2:30 p.m. Israel time. Each shareholder is required to provide proof of ownership of the Company’s shares in order to vote his, her or its shares at the Annual Meeting. If your shares are held in the name of a bank, broker or other holder of record, you must bring a current brokerage statement or other proof of ownership with you to the Annual Meeting. To receive more information regarding the Annual Meeting and the agenda items, see the Immediate Report on the matter of calling the Annual Meeting and the Proxy Statement, as it will be published by the Company on the MAGNA distribution site www.magna.isa.gov.il and the website of the Tel-Aviv Stock Exchange www.maya.tase.co.il.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892</Words>
  <Characters>4511</Characters>
  <CharactersWithSpaces>5406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