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252.htm"/>
      <w:bookmarkStart w:id="1" w:name="kszk2636252"/>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001-33129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ALLOT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Hanagar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Neve Ne'eman Industrial Zone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Hod-Hasharon 45240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Allot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announced today the results of its Annual General Meeting of Shareholders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held on October 22, 2026, at the Company's offices located at 22 Hanagar St., Neve Ne'eman Industrial Zone B, Hod-Hasharon 45240,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voted upon all the proposals on the Meeting's agenda, each of which is described in more detail in the Company's Proxy Statement for the Meeting, which was attached as Exhibit 99.1 to a Report of Foreign Private Issuer on Form 6-K, furnished to the Securities and Exchange Commission, dated as of September 15,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shareholders of record at the close of business on September 9, 2026 were entitled to vote at the Meeting. Each of agenda items 2-6 were voted upon and approved by the required majority of the Company’s shareholders. Agenda item 1 was voted upon and was not approved by the required majority of the Company's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60"/>
        <w:gridCol w:w="425"/>
        <w:gridCol w:w="2375"/>
      </w:tblGrid>
      <w:tr>
        <w:trPr/>
        <w:tc>
          <w:tcPr>
            <w:tcW w:w="60" w:type="dxa"/>
            <w:tcBorders/>
            <w:vAlign w:val="center"/>
          </w:tcPr>
          <w:p>
            <w:pPr>
              <w:pStyle w:val="TableContents"/>
              <w:bidi w:val="0"/>
              <w:spacing w:before="0" w:after="283"/>
              <w:jc w:val="left"/>
              <w:rPr/>
            </w:pPr>
            <w:r>
              <w:rPr/>
              <w:t> </w:t>
            </w:r>
          </w:p>
        </w:tc>
        <w:tc>
          <w:tcPr>
            <w:tcW w:w="2800" w:type="dxa"/>
            <w:gridSpan w:val="2"/>
            <w:tcBorders/>
            <w:vAlign w:val="center"/>
          </w:tcPr>
          <w:p>
            <w:pPr>
              <w:pStyle w:val="TableContents"/>
              <w:bidi w:val="0"/>
              <w:spacing w:before="0" w:after="283"/>
              <w:jc w:val="left"/>
              <w:rPr/>
            </w:pPr>
            <w:r>
              <w:rPr/>
              <w:t>Allot Ltd.</w:t>
            </w:r>
          </w:p>
        </w:tc>
      </w:tr>
      <w:tr>
        <w:trPr/>
        <w:tc>
          <w:tcPr>
            <w:tcW w:w="60" w:type="dxa"/>
            <w:tcBorders/>
            <w:vAlign w:val="center"/>
          </w:tcPr>
          <w:p>
            <w:pPr>
              <w:pStyle w:val="TableContents"/>
              <w:bidi w:val="0"/>
              <w:spacing w:before="0" w:after="283"/>
              <w:jc w:val="left"/>
              <w:rPr/>
            </w:pPr>
            <w:r>
              <w:rPr/>
              <w:t> </w:t>
            </w:r>
          </w:p>
        </w:tc>
        <w:tc>
          <w:tcPr>
            <w:tcW w:w="280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 </w:t>
            </w:r>
          </w:p>
        </w:tc>
        <w:tc>
          <w:tcPr>
            <w:tcW w:w="2375" w:type="dxa"/>
            <w:tcBorders/>
            <w:vAlign w:val="center"/>
          </w:tcPr>
          <w:p>
            <w:pPr>
              <w:pStyle w:val="TableContents"/>
              <w:bidi w:val="0"/>
              <w:spacing w:before="0" w:after="283"/>
              <w:jc w:val="left"/>
              <w:rPr/>
            </w:pPr>
            <w:r>
              <w:rPr/>
              <w:t>/s/ Daniella Naveh</w:t>
              <w:tab/>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75" w:type="dxa"/>
            <w:tcBorders>
              <w:top w:val="single" w:sz="2" w:space="0" w:color="000000"/>
            </w:tcBorders>
            <w:tcMar>
              <w:top w:w="28" w:type="dxa"/>
            </w:tcMar>
            <w:vAlign w:val="center"/>
          </w:tcPr>
          <w:p>
            <w:pPr>
              <w:pStyle w:val="TableContents"/>
              <w:bidi w:val="0"/>
              <w:spacing w:before="0" w:after="283"/>
              <w:jc w:val="left"/>
              <w:rPr/>
            </w:pPr>
            <w:r>
              <w:rPr/>
              <w:t>Daniella Naveh</w:t>
              <w:br/>
              <w:t>Deputy General Counsel</w:t>
            </w:r>
          </w:p>
        </w:tc>
      </w:tr>
    </w:tbl>
    <w:p>
      <w:pPr>
        <w:pStyle w:val="TextBody"/>
        <w:bidi w:val="0"/>
        <w:spacing w:before="0" w:after="0"/>
        <w:ind w:left="504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332</Words>
  <Characters>1722</Characters>
  <CharactersWithSpaces>2069</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